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44675">
      <w:pPr>
        <w:spacing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20"/>
          <w:kern w:val="0"/>
          <w:sz w:val="44"/>
          <w:szCs w:val="44"/>
          <w:lang w:bidi="en-US"/>
        </w:rPr>
      </w:pPr>
      <w:r>
        <w:rPr>
          <w:rFonts w:hint="eastAsia" w:ascii="方正小标宋_GBK" w:hAnsi="方正小标宋_GBK" w:eastAsia="方正小标宋_GBK" w:cs="方正小标宋_GBK"/>
          <w:spacing w:val="20"/>
          <w:kern w:val="0"/>
          <w:sz w:val="44"/>
          <w:szCs w:val="44"/>
          <w:lang w:bidi="en-US"/>
        </w:rPr>
        <w:t>兰州市口腔医院</w:t>
      </w:r>
    </w:p>
    <w:p w14:paraId="0F9046DE">
      <w:pPr>
        <w:spacing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20"/>
          <w:kern w:val="0"/>
          <w:sz w:val="44"/>
          <w:szCs w:val="44"/>
          <w:lang w:bidi="en-US"/>
        </w:rPr>
      </w:pPr>
      <w:r>
        <w:rPr>
          <w:rFonts w:hint="eastAsia" w:ascii="方正小标宋_GBK" w:hAnsi="方正小标宋_GBK" w:eastAsia="方正小标宋_GBK" w:cs="方正小标宋_GBK"/>
          <w:spacing w:val="20"/>
          <w:kern w:val="0"/>
          <w:sz w:val="44"/>
          <w:szCs w:val="44"/>
          <w:lang w:val="en-US" w:eastAsia="zh-CN" w:bidi="en-US"/>
        </w:rPr>
        <w:t>2024年专项债券资金</w:t>
      </w:r>
      <w:bookmarkStart w:id="11" w:name="_GoBack"/>
      <w:bookmarkEnd w:id="11"/>
      <w:r>
        <w:rPr>
          <w:rFonts w:hint="eastAsia" w:ascii="方正小标宋_GBK" w:hAnsi="方正小标宋_GBK" w:eastAsia="方正小标宋_GBK" w:cs="方正小标宋_GBK"/>
          <w:spacing w:val="20"/>
          <w:kern w:val="0"/>
          <w:sz w:val="44"/>
          <w:szCs w:val="44"/>
          <w:lang w:bidi="en-US"/>
        </w:rPr>
        <w:t>绩效评价报告</w:t>
      </w:r>
    </w:p>
    <w:p w14:paraId="2B28CC52">
      <w:pPr>
        <w:pStyle w:val="11"/>
        <w:jc w:val="both"/>
      </w:pPr>
    </w:p>
    <w:p w14:paraId="4B8B9947">
      <w:pPr>
        <w:adjustRightInd w:val="0"/>
        <w:spacing w:line="360" w:lineRule="auto"/>
        <w:ind w:firstLine="640" w:firstLineChars="200"/>
        <w:rPr>
          <w:rFonts w:ascii="楷体_GB2312" w:eastAsia="黑体"/>
          <w:sz w:val="32"/>
          <w:szCs w:val="32"/>
        </w:rPr>
      </w:pPr>
      <w:bookmarkStart w:id="0" w:name="_Toc22665"/>
      <w:bookmarkStart w:id="1" w:name="_Toc40284059"/>
      <w:bookmarkStart w:id="2" w:name="_Toc2564"/>
      <w:r>
        <w:rPr>
          <w:rFonts w:hint="eastAsia" w:ascii="黑体" w:hAnsi="黑体" w:eastAsia="黑体" w:cs="黑体"/>
          <w:bCs/>
          <w:sz w:val="32"/>
          <w:szCs w:val="32"/>
          <w:lang w:bidi="en-US"/>
        </w:rPr>
        <w:t>一、</w:t>
      </w:r>
      <w:bookmarkEnd w:id="0"/>
      <w:bookmarkEnd w:id="1"/>
      <w:r>
        <w:rPr>
          <w:rFonts w:hint="eastAsia" w:ascii="黑体" w:hAnsi="黑体" w:eastAsia="黑体" w:cs="黑体"/>
          <w:bCs/>
          <w:sz w:val="32"/>
          <w:szCs w:val="32"/>
          <w:lang w:bidi="en-US"/>
        </w:rPr>
        <w:t>项目基本情况</w:t>
      </w:r>
      <w:bookmarkEnd w:id="2"/>
    </w:p>
    <w:p w14:paraId="3A7CAD65">
      <w:pPr>
        <w:pStyle w:val="5"/>
        <w:snapToGrid/>
        <w:spacing w:line="360" w:lineRule="auto"/>
        <w:ind w:firstLine="640" w:firstLineChars="200"/>
        <w:rPr>
          <w:rFonts w:ascii="楷体" w:hAnsi="楷体" w:eastAsia="楷体_GB2312" w:cs="楷体"/>
          <w:b/>
          <w:bCs/>
          <w:kern w:val="2"/>
          <w:sz w:val="32"/>
          <w:szCs w:val="32"/>
        </w:rPr>
      </w:pPr>
      <w:bookmarkStart w:id="3" w:name="_Toc6587"/>
      <w:r>
        <w:rPr>
          <w:rFonts w:hint="eastAsia" w:ascii="楷体_GB2312" w:eastAsia="楷体_GB2312"/>
          <w:kern w:val="2"/>
          <w:sz w:val="32"/>
          <w:szCs w:val="32"/>
        </w:rPr>
        <w:t>（一）项目立项背景及实施</w:t>
      </w:r>
      <w:bookmarkEnd w:id="3"/>
      <w:r>
        <w:rPr>
          <w:rFonts w:hint="eastAsia" w:ascii="楷体_GB2312" w:eastAsia="楷体_GB2312"/>
          <w:kern w:val="2"/>
          <w:sz w:val="32"/>
          <w:szCs w:val="32"/>
        </w:rPr>
        <w:t>目的</w:t>
      </w:r>
    </w:p>
    <w:p w14:paraId="3668FE91">
      <w:pPr>
        <w:pStyle w:val="5"/>
        <w:snapToGrid/>
        <w:spacing w:line="360" w:lineRule="auto"/>
        <w:ind w:firstLine="640" w:firstLineChars="200"/>
        <w:rPr>
          <w:sz w:val="32"/>
          <w:szCs w:val="32"/>
        </w:rPr>
      </w:pPr>
      <w:bookmarkStart w:id="4" w:name="_Toc30523"/>
      <w:bookmarkStart w:id="5" w:name="_Toc27035"/>
      <w:bookmarkStart w:id="6" w:name="_Toc18348"/>
      <w:r>
        <w:rPr>
          <w:rFonts w:hint="eastAsia"/>
          <w:sz w:val="32"/>
          <w:szCs w:val="32"/>
        </w:rPr>
        <w:t>兰州市口腔医院是甘肃省最早的一所口腔专科医院，随着诊疗范围的扩大和病源量的增加，业务用房已远不能满足患者诊疗和医院发展需要，为进一步扩大和完善市口腔医院的服务范围和服务职能，更好地为省、市居民提供安全、有效、方便的三级甲等口腔医疗卫生服务，将新建项目地址选在城关区雁滩。</w:t>
      </w:r>
      <w:bookmarkEnd w:id="4"/>
      <w:bookmarkEnd w:id="5"/>
    </w:p>
    <w:p w14:paraId="7C878DC2">
      <w:pPr>
        <w:pStyle w:val="5"/>
        <w:snapToGrid/>
        <w:spacing w:line="360" w:lineRule="auto"/>
        <w:ind w:firstLine="640" w:firstLineChars="200"/>
        <w:rPr>
          <w:rFonts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（二）</w:t>
      </w:r>
      <w:bookmarkEnd w:id="6"/>
      <w:r>
        <w:rPr>
          <w:rFonts w:hint="eastAsia" w:ascii="楷体_GB2312" w:eastAsia="楷体_GB2312"/>
          <w:kern w:val="2"/>
          <w:sz w:val="32"/>
          <w:szCs w:val="32"/>
        </w:rPr>
        <w:t>项目预算安排和支出情况</w:t>
      </w:r>
    </w:p>
    <w:p w14:paraId="7B3BF30B">
      <w:pPr>
        <w:adjustRightInd w:val="0"/>
        <w:spacing w:line="360" w:lineRule="auto"/>
        <w:ind w:firstLine="640" w:firstLineChars="200"/>
        <w:rPr>
          <w:rFonts w:ascii="仿宋_GB2312"/>
          <w:kern w:val="0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</w:rPr>
        <w:t>1.项目预算安排</w:t>
      </w:r>
    </w:p>
    <w:p w14:paraId="66AC6F5B">
      <w:pPr>
        <w:adjustRightInd w:val="0"/>
        <w:spacing w:line="360" w:lineRule="auto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</w:rPr>
        <w:t>项目预算安排资金55,957.00万元，其中：一般公共预算资金</w:t>
      </w:r>
      <w:r>
        <w:rPr>
          <w:rFonts w:hint="eastAsia" w:ascii="仿宋_GB2312"/>
          <w:sz w:val="32"/>
          <w:szCs w:val="32"/>
        </w:rPr>
        <w:t>4,757.00万元，专项债券资金共45,000.00万元，前期经费200.00万元，中央转移抗疫国债6,000.00万元。</w:t>
      </w:r>
    </w:p>
    <w:p w14:paraId="13292FD9">
      <w:pPr>
        <w:adjustRightInd w:val="0"/>
        <w:spacing w:line="360" w:lineRule="auto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2.项目支出情况</w:t>
      </w:r>
    </w:p>
    <w:p w14:paraId="12C94437">
      <w:pPr>
        <w:adjustRightInd w:val="0"/>
        <w:spacing w:line="360" w:lineRule="auto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</w:rPr>
        <w:t>截止202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/>
          <w:color w:val="auto"/>
          <w:sz w:val="32"/>
          <w:szCs w:val="32"/>
        </w:rPr>
        <w:t>年12月31日总计支出</w:t>
      </w:r>
      <w:r>
        <w:rPr>
          <w:rFonts w:hint="eastAsia" w:ascii="仿宋_GB2312"/>
          <w:kern w:val="0"/>
          <w:sz w:val="32"/>
          <w:szCs w:val="32"/>
        </w:rPr>
        <w:t>55,957.00</w:t>
      </w:r>
      <w:r>
        <w:rPr>
          <w:rFonts w:hint="eastAsia" w:ascii="仿宋_GB2312"/>
          <w:color w:val="auto"/>
          <w:sz w:val="32"/>
          <w:szCs w:val="32"/>
        </w:rPr>
        <w:t>万元</w:t>
      </w:r>
      <w:r>
        <w:rPr>
          <w:rFonts w:hint="eastAsia" w:ascii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其中专项债券累计支出</w:t>
      </w:r>
      <w:r>
        <w:rPr>
          <w:rFonts w:hint="eastAsia" w:ascii="仿宋_GB2312"/>
          <w:sz w:val="32"/>
          <w:szCs w:val="32"/>
        </w:rPr>
        <w:t>45,000.00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万元。2024年度支出2,280.29万元。</w:t>
      </w:r>
    </w:p>
    <w:p w14:paraId="752D67FE">
      <w:pPr>
        <w:pStyle w:val="5"/>
        <w:snapToGrid/>
        <w:spacing w:line="360" w:lineRule="auto"/>
        <w:ind w:firstLine="640" w:firstLineChars="200"/>
        <w:rPr>
          <w:rFonts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（三）项目主要内容和实施情况</w:t>
      </w:r>
    </w:p>
    <w:p w14:paraId="19DC4784">
      <w:pPr>
        <w:pStyle w:val="7"/>
        <w:widowControl/>
        <w:spacing w:before="0" w:beforeAutospacing="0" w:after="0" w:afterAutospacing="0" w:line="360" w:lineRule="auto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兰州市口腔医院异地新建项目总建筑面积为46,370.13平方米。其中：医疗综合楼45,860.13平方米，地下二层、地上北楼八层、南楼五层；液氧站100平方米；垃圾污水处理站410平方米。</w:t>
      </w:r>
    </w:p>
    <w:p w14:paraId="7D445686">
      <w:pPr>
        <w:pStyle w:val="7"/>
        <w:widowControl/>
        <w:spacing w:before="0" w:beforeAutospacing="0" w:after="0" w:afterAutospacing="0" w:line="360" w:lineRule="auto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该项目2020年11月1日正式开工，2021年10月3日完成主体结构封顶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lang w:eastAsia="zh-CN"/>
        </w:rPr>
        <w:t>2023年10月25日投入</w:t>
      </w:r>
      <w:r>
        <w:rPr>
          <w:rFonts w:hint="eastAsia" w:ascii="仿宋_GB2312" w:hAnsi="Times New Roman"/>
          <w:sz w:val="32"/>
          <w:lang w:val="en-US" w:eastAsia="zh-CN"/>
        </w:rPr>
        <w:t>试运行，预计2025年底完成竣工结决算。</w:t>
      </w:r>
    </w:p>
    <w:p w14:paraId="16683418">
      <w:pPr>
        <w:adjustRightInd w:val="0"/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  <w:lang w:bidi="en-US"/>
        </w:rPr>
      </w:pPr>
      <w:bookmarkStart w:id="7" w:name="_Toc15315"/>
      <w:bookmarkStart w:id="8" w:name="_Toc31738"/>
      <w:bookmarkStart w:id="9" w:name="_Toc13216"/>
      <w:r>
        <w:rPr>
          <w:rFonts w:hint="eastAsia" w:ascii="黑体" w:hAnsi="黑体" w:eastAsia="黑体" w:cs="黑体"/>
          <w:bCs/>
          <w:sz w:val="32"/>
          <w:szCs w:val="32"/>
          <w:lang w:bidi="en-US"/>
        </w:rPr>
        <w:t>二、项目绩效目标</w:t>
      </w:r>
    </w:p>
    <w:p w14:paraId="30577E6E">
      <w:pPr>
        <w:pStyle w:val="5"/>
        <w:snapToGrid/>
        <w:spacing w:line="360" w:lineRule="auto"/>
        <w:ind w:firstLine="640" w:firstLineChars="200"/>
        <w:rPr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（一）项目总体目标</w:t>
      </w:r>
    </w:p>
    <w:p w14:paraId="4914D55A">
      <w:pPr>
        <w:pStyle w:val="5"/>
        <w:snapToGrid/>
        <w:spacing w:line="360" w:lineRule="auto"/>
        <w:ind w:firstLine="640" w:firstLineChars="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本项目总体绩效目标是建成一个功能完善、流线清晰、布局合理、绿色节能的现代化三级甲等口腔专科医院。</w:t>
      </w:r>
    </w:p>
    <w:p w14:paraId="31FD1966">
      <w:pPr>
        <w:pStyle w:val="5"/>
        <w:snapToGrid/>
        <w:spacing w:line="360" w:lineRule="auto"/>
        <w:ind w:firstLine="640" w:firstLineChars="200"/>
        <w:rPr>
          <w:rFonts w:ascii="楷体_GB2312" w:eastAsia="楷体_GB2312"/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（二）</w:t>
      </w:r>
      <w:r>
        <w:rPr>
          <w:rFonts w:hint="eastAsia" w:ascii="楷体_GB2312" w:eastAsia="楷体_GB2312"/>
          <w:kern w:val="2"/>
          <w:sz w:val="32"/>
          <w:szCs w:val="32"/>
        </w:rPr>
        <w:t>202</w:t>
      </w:r>
      <w:r>
        <w:rPr>
          <w:rFonts w:hint="eastAsia" w:ascii="楷体_GB2312" w:eastAsia="楷体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kern w:val="2"/>
          <w:sz w:val="32"/>
          <w:szCs w:val="32"/>
        </w:rPr>
        <w:t>年度绩效目标</w:t>
      </w:r>
    </w:p>
    <w:p w14:paraId="1E173862">
      <w:pPr>
        <w:pStyle w:val="5"/>
        <w:snapToGrid/>
        <w:spacing w:line="360" w:lineRule="auto"/>
        <w:ind w:firstLine="640" w:firstLineChars="200"/>
        <w:rPr>
          <w:kern w:val="2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度主要完成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  <w:lang w:val="en-US" w:eastAsia="zh-CN"/>
        </w:rPr>
        <w:t>室外工程、装饰</w:t>
      </w:r>
      <w:r>
        <w:rPr>
          <w:rFonts w:hint="eastAsia" w:cs="仿宋" w:hAnsiTheme="minorEastAsia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  <w:lang w:val="en-US" w:eastAsia="zh-CN"/>
        </w:rPr>
        <w:t>、机械停车</w:t>
      </w:r>
      <w:r>
        <w:rPr>
          <w:rFonts w:hint="eastAsia" w:cs="仿宋" w:hAnsiTheme="minorEastAsia"/>
          <w:color w:val="auto"/>
          <w:sz w:val="32"/>
          <w:szCs w:val="32"/>
          <w:lang w:val="en-US" w:eastAsia="zh-CN"/>
        </w:rPr>
        <w:t>库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  <w:lang w:val="en-US" w:eastAsia="zh-CN"/>
        </w:rPr>
        <w:t>、锅炉房、智能化工程、医用气体工程</w:t>
      </w:r>
      <w:r>
        <w:rPr>
          <w:rFonts w:hint="eastAsia" w:cs="仿宋" w:hAnsiTheme="minorEastAsia"/>
          <w:color w:val="auto"/>
          <w:sz w:val="32"/>
          <w:szCs w:val="32"/>
          <w:lang w:val="en-US" w:eastAsia="zh-CN"/>
        </w:rPr>
        <w:t>等项目进度款，并将部分</w:t>
      </w:r>
      <w:r>
        <w:rPr>
          <w:rFonts w:hint="eastAsia" w:ascii="仿宋_GB2312" w:eastAsia="仿宋_GB2312" w:cs="仿宋" w:hAnsiTheme="minorEastAsia"/>
          <w:color w:val="auto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  <w:lang w:val="en-US" w:eastAsia="zh-CN"/>
        </w:rPr>
        <w:t>报送评审中心进行结算评审，完成项目结算款</w:t>
      </w:r>
      <w:r>
        <w:rPr>
          <w:rFonts w:hint="eastAsia"/>
          <w:sz w:val="32"/>
          <w:szCs w:val="32"/>
        </w:rPr>
        <w:t>。</w:t>
      </w:r>
    </w:p>
    <w:p w14:paraId="1B8C5A95">
      <w:pPr>
        <w:adjustRightInd w:val="0"/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  <w:lang w:bidi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 w:bidi="en-US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  <w:lang w:bidi="en-US"/>
        </w:rPr>
        <w:t>、评价结论</w:t>
      </w:r>
      <w:bookmarkEnd w:id="7"/>
      <w:bookmarkEnd w:id="8"/>
      <w:r>
        <w:rPr>
          <w:rFonts w:hint="eastAsia" w:ascii="黑体" w:hAnsi="黑体" w:eastAsia="黑体" w:cs="黑体"/>
          <w:bCs/>
          <w:sz w:val="32"/>
          <w:szCs w:val="32"/>
          <w:lang w:bidi="en-US"/>
        </w:rPr>
        <w:t>和绩效分析</w:t>
      </w:r>
    </w:p>
    <w:p w14:paraId="53F3132C">
      <w:pPr>
        <w:adjustRightIn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经评价，202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年兰州市口腔医院异地新建项目绩效评价综合得分</w:t>
      </w:r>
      <w:r>
        <w:rPr>
          <w:rFonts w:hint="eastAsia"/>
          <w:sz w:val="32"/>
          <w:szCs w:val="32"/>
          <w:lang w:val="en-US" w:eastAsia="zh-CN"/>
        </w:rPr>
        <w:t>92.35</w:t>
      </w:r>
      <w:r>
        <w:rPr>
          <w:rFonts w:hint="eastAsia"/>
          <w:sz w:val="32"/>
          <w:szCs w:val="32"/>
        </w:rPr>
        <w:t>分，对应绩效级别为“</w:t>
      </w:r>
      <w:r>
        <w:rPr>
          <w:rFonts w:hint="eastAsia"/>
          <w:sz w:val="32"/>
          <w:szCs w:val="32"/>
          <w:lang w:val="en-US" w:eastAsia="zh-CN"/>
        </w:rPr>
        <w:t>优</w:t>
      </w:r>
      <w:r>
        <w:rPr>
          <w:rFonts w:hint="eastAsia"/>
          <w:sz w:val="32"/>
          <w:szCs w:val="32"/>
        </w:rPr>
        <w:t>”。具体绩效分析如下：</w:t>
      </w:r>
    </w:p>
    <w:p w14:paraId="20131886">
      <w:pPr>
        <w:pStyle w:val="5"/>
        <w:adjustRightInd w:val="0"/>
        <w:snapToGrid/>
        <w:spacing w:line="360" w:lineRule="auto"/>
        <w:ind w:firstLine="640" w:firstLineChars="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1.项目决策方面：立项程序规范，前期准备充分，项目与专项债券基本符合。</w:t>
      </w:r>
    </w:p>
    <w:p w14:paraId="7E31B6ED">
      <w:pPr>
        <w:pStyle w:val="5"/>
        <w:adjustRightInd w:val="0"/>
        <w:snapToGrid/>
        <w:spacing w:line="360" w:lineRule="auto"/>
        <w:ind w:firstLine="640" w:firstLineChars="200"/>
        <w:rPr>
          <w:rFonts w:hint="eastAsia"/>
          <w:kern w:val="2"/>
          <w:sz w:val="32"/>
          <w:szCs w:val="32"/>
          <w:lang w:eastAsia="zh-CN"/>
        </w:rPr>
      </w:pPr>
      <w:r>
        <w:rPr>
          <w:rFonts w:hint="eastAsia"/>
          <w:kern w:val="2"/>
          <w:sz w:val="32"/>
          <w:szCs w:val="32"/>
        </w:rPr>
        <w:t>2.项目过程方面：项目管理制度基本健全，招投标和政府采购程序规范，质量控制基本有效</w:t>
      </w:r>
      <w:r>
        <w:rPr>
          <w:rFonts w:hint="eastAsia"/>
          <w:kern w:val="2"/>
          <w:sz w:val="32"/>
          <w:szCs w:val="32"/>
          <w:lang w:eastAsia="zh-CN"/>
        </w:rPr>
        <w:t>。</w:t>
      </w:r>
    </w:p>
    <w:p w14:paraId="1727FE14">
      <w:pPr>
        <w:pStyle w:val="5"/>
        <w:adjustRightInd w:val="0"/>
        <w:snapToGrid/>
        <w:spacing w:line="360" w:lineRule="auto"/>
        <w:ind w:firstLine="640" w:firstLineChars="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3.项目产出方面：兰州市口腔医院异地新建项目无因质量问题事故发生情况；基础、主体结构验收合格；项目尚未按计划完成，项目时效性较差。</w:t>
      </w:r>
    </w:p>
    <w:p w14:paraId="2CF54B7F">
      <w:pPr>
        <w:pStyle w:val="5"/>
        <w:adjustRightInd w:val="0"/>
        <w:snapToGrid/>
        <w:spacing w:line="360" w:lineRule="auto"/>
        <w:ind w:firstLine="640" w:firstLineChars="200"/>
        <w:rPr>
          <w:rFonts w:eastAsia="楷体_GB2312"/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4.项目效益方面：兰州市口腔医院异地新建项目建成后会改善医疗环境，提升医疗水平及科研水平，规模扩大，接收更多患者，项目满意度较高，但项目存在专项债券利息偿还不及时，偿债能力可能较弱等情况。</w:t>
      </w:r>
    </w:p>
    <w:p w14:paraId="6D2E9764">
      <w:pPr>
        <w:adjustRightInd w:val="0"/>
        <w:spacing w:line="360" w:lineRule="auto"/>
        <w:ind w:firstLine="960" w:firstLineChars="300"/>
        <w:rPr>
          <w:rFonts w:ascii="黑体" w:hAnsi="黑体" w:eastAsia="黑体" w:cs="黑体"/>
          <w:bCs/>
          <w:sz w:val="32"/>
          <w:szCs w:val="32"/>
          <w:lang w:bidi="en-US"/>
        </w:rPr>
      </w:pPr>
      <w:bookmarkStart w:id="10" w:name="_Toc11649"/>
      <w:r>
        <w:rPr>
          <w:rFonts w:hint="eastAsia" w:ascii="黑体" w:hAnsi="黑体" w:eastAsia="黑体" w:cs="黑体"/>
          <w:bCs/>
          <w:sz w:val="32"/>
          <w:szCs w:val="32"/>
          <w:lang w:bidi="en-US"/>
        </w:rPr>
        <w:t>五、存在问题</w:t>
      </w:r>
      <w:bookmarkEnd w:id="9"/>
      <w:r>
        <w:rPr>
          <w:rFonts w:hint="eastAsia" w:ascii="黑体" w:hAnsi="黑体" w:eastAsia="黑体" w:cs="黑体"/>
          <w:bCs/>
          <w:sz w:val="32"/>
          <w:szCs w:val="32"/>
          <w:lang w:bidi="en-US"/>
        </w:rPr>
        <w:t>及原因分析</w:t>
      </w:r>
      <w:bookmarkEnd w:id="10"/>
    </w:p>
    <w:p w14:paraId="2804ACB2">
      <w:pPr>
        <w:adjustRightInd w:val="0"/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sz w:val="32"/>
          <w:szCs w:val="32"/>
        </w:rPr>
        <w:t>）项目管理方面</w:t>
      </w:r>
    </w:p>
    <w:p w14:paraId="401470F0">
      <w:pPr>
        <w:pStyle w:val="5"/>
        <w:adjustRightInd w:val="0"/>
        <w:snapToGrid/>
        <w:spacing w:line="360" w:lineRule="auto"/>
        <w:ind w:firstLine="640" w:firstLineChars="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1.项目可研批复、概算批复涵盖内容不全面</w:t>
      </w:r>
    </w:p>
    <w:p w14:paraId="376A9B31">
      <w:pPr>
        <w:pStyle w:val="5"/>
        <w:adjustRightInd w:val="0"/>
        <w:snapToGrid/>
        <w:spacing w:line="360" w:lineRule="auto"/>
        <w:ind w:firstLine="640" w:firstLineChars="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项目可研、概算批复未将需要设备基础的大型设备纳入，也未考虑融资成本的建设期利息。</w:t>
      </w:r>
    </w:p>
    <w:p w14:paraId="07657569">
      <w:pPr>
        <w:pStyle w:val="5"/>
        <w:adjustRightInd w:val="0"/>
        <w:snapToGrid/>
        <w:spacing w:line="360" w:lineRule="auto"/>
        <w:ind w:firstLine="640" w:firstLineChars="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2.项目管理不够规范</w:t>
      </w:r>
    </w:p>
    <w:p w14:paraId="27B1290C">
      <w:pPr>
        <w:pStyle w:val="5"/>
        <w:adjustRightInd w:val="0"/>
        <w:snapToGrid/>
        <w:spacing w:line="360" w:lineRule="auto"/>
        <w:ind w:firstLine="640" w:firstLineChars="200"/>
        <w:rPr>
          <w:rFonts w:hint="eastAsia"/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（1）施工招标工作不严谨导致后期工作量加大。（2）项目进度未按计划执行，进度滞后。</w:t>
      </w:r>
    </w:p>
    <w:p w14:paraId="65C3468C">
      <w:pPr>
        <w:pStyle w:val="5"/>
        <w:adjustRightInd w:val="0"/>
        <w:snapToGrid/>
        <w:spacing w:line="360" w:lineRule="auto"/>
        <w:ind w:firstLine="640" w:firstLineChars="200"/>
        <w:rPr>
          <w:rFonts w:hint="eastAsia" w:eastAsia="仿宋_GB2312"/>
          <w:kern w:val="2"/>
          <w:sz w:val="32"/>
          <w:szCs w:val="32"/>
          <w:lang w:eastAsia="zh-CN"/>
        </w:rPr>
      </w:pPr>
      <w:r>
        <w:rPr>
          <w:rFonts w:hint="eastAsia"/>
          <w:kern w:val="2"/>
          <w:sz w:val="32"/>
          <w:szCs w:val="32"/>
        </w:rPr>
        <w:t>原因分析：</w:t>
      </w:r>
      <w:r>
        <w:rPr>
          <w:rFonts w:hint="eastAsia"/>
          <w:color w:val="000000"/>
          <w:sz w:val="32"/>
          <w:szCs w:val="32"/>
        </w:rPr>
        <w:t>项目各种手续办理难度较大，受外界客观因素影响较多，加之</w:t>
      </w:r>
      <w:r>
        <w:rPr>
          <w:rFonts w:hint="eastAsia"/>
          <w:kern w:val="2"/>
          <w:sz w:val="32"/>
          <w:szCs w:val="32"/>
        </w:rPr>
        <w:t>项目管理人员经验不足，导致项目进度缓慢</w:t>
      </w:r>
      <w:r>
        <w:rPr>
          <w:rFonts w:hint="eastAsia"/>
          <w:kern w:val="2"/>
          <w:sz w:val="32"/>
          <w:szCs w:val="32"/>
          <w:lang w:eastAsia="zh-CN"/>
        </w:rPr>
        <w:t>。</w:t>
      </w:r>
    </w:p>
    <w:p w14:paraId="61824A55">
      <w:pPr>
        <w:adjustRightInd w:val="0"/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）项目建设存在资金缺口</w:t>
      </w:r>
    </w:p>
    <w:p w14:paraId="1470765F">
      <w:pPr>
        <w:pStyle w:val="5"/>
        <w:adjustRightInd w:val="0"/>
        <w:snapToGrid/>
        <w:spacing w:line="360" w:lineRule="auto"/>
        <w:ind w:firstLine="640" w:firstLineChars="200"/>
        <w:rPr>
          <w:rFonts w:ascii="仿宋_GB2312"/>
          <w:sz w:val="32"/>
          <w:szCs w:val="32"/>
        </w:rPr>
      </w:pPr>
      <w:r>
        <w:rPr>
          <w:kern w:val="2"/>
          <w:sz w:val="32"/>
          <w:szCs w:val="32"/>
        </w:rPr>
        <w:t>该项目预算安排资金总计5</w:t>
      </w:r>
      <w:r>
        <w:rPr>
          <w:rFonts w:hint="eastAsia"/>
          <w:kern w:val="2"/>
          <w:sz w:val="32"/>
          <w:szCs w:val="32"/>
        </w:rPr>
        <w:t>5</w:t>
      </w:r>
      <w:r>
        <w:rPr>
          <w:kern w:val="2"/>
          <w:sz w:val="32"/>
          <w:szCs w:val="32"/>
        </w:rPr>
        <w:t>,957</w:t>
      </w:r>
      <w:r>
        <w:rPr>
          <w:rFonts w:hint="eastAsia"/>
          <w:kern w:val="2"/>
          <w:sz w:val="32"/>
          <w:szCs w:val="32"/>
        </w:rPr>
        <w:t>.00</w:t>
      </w:r>
      <w:r>
        <w:rPr>
          <w:kern w:val="2"/>
          <w:sz w:val="32"/>
          <w:szCs w:val="32"/>
        </w:rPr>
        <w:t>万元</w:t>
      </w:r>
      <w:r>
        <w:rPr>
          <w:rFonts w:hint="eastAsia"/>
          <w:kern w:val="2"/>
          <w:sz w:val="32"/>
          <w:szCs w:val="32"/>
        </w:rPr>
        <w:t>，</w:t>
      </w:r>
      <w:r>
        <w:rPr>
          <w:rFonts w:hint="eastAsia"/>
          <w:kern w:val="2"/>
          <w:sz w:val="32"/>
          <w:szCs w:val="32"/>
          <w:lang w:val="en-US" w:eastAsia="zh-CN"/>
        </w:rPr>
        <w:t>项目概算62736.12</w:t>
      </w:r>
      <w:r>
        <w:rPr>
          <w:kern w:val="2"/>
          <w:sz w:val="32"/>
          <w:szCs w:val="32"/>
        </w:rPr>
        <w:t>万元</w:t>
      </w:r>
      <w:r>
        <w:rPr>
          <w:rFonts w:hint="eastAsia"/>
          <w:kern w:val="2"/>
          <w:sz w:val="32"/>
          <w:szCs w:val="32"/>
        </w:rPr>
        <w:t>，项目资金缺口</w:t>
      </w:r>
      <w:r>
        <w:rPr>
          <w:rFonts w:hint="eastAsia"/>
          <w:kern w:val="2"/>
          <w:sz w:val="32"/>
          <w:szCs w:val="32"/>
          <w:lang w:val="en-US" w:eastAsia="zh-CN"/>
        </w:rPr>
        <w:t>6779.12</w:t>
      </w:r>
      <w:r>
        <w:rPr>
          <w:rFonts w:hint="eastAsia"/>
          <w:kern w:val="2"/>
          <w:sz w:val="32"/>
          <w:szCs w:val="32"/>
        </w:rPr>
        <w:t>万元，若考虑后期变更金额，资金缺口将更大。若不能及时解决资金缺口，将影响工程进度及交付使用。</w:t>
      </w:r>
    </w:p>
    <w:p w14:paraId="3A230304">
      <w:pPr>
        <w:pStyle w:val="4"/>
        <w:keepNext w:val="0"/>
        <w:keepLines w:val="0"/>
        <w:widowControl/>
        <w:adjustRightInd w:val="0"/>
        <w:snapToGrid w:val="0"/>
        <w:spacing w:before="0" w:after="0" w:line="360" w:lineRule="auto"/>
        <w:ind w:left="600" w:leftChars="200"/>
        <w:rPr>
          <w:rFonts w:ascii="宋体" w:hAnsi="宋体" w:eastAsia="黑体" w:cs="宋体"/>
          <w:b w:val="0"/>
          <w:color w:val="000000" w:themeColor="text1"/>
          <w:kern w:val="36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宋体"/>
          <w:b w:val="0"/>
          <w:color w:val="000000" w:themeColor="text1"/>
          <w:kern w:val="36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黑体" w:cs="宋体"/>
          <w:b w:val="0"/>
          <w:color w:val="000000" w:themeColor="text1"/>
          <w:kern w:val="36"/>
          <w:sz w:val="32"/>
          <w:szCs w:val="48"/>
          <w14:textFill>
            <w14:solidFill>
              <w14:schemeClr w14:val="tx1"/>
            </w14:solidFill>
          </w14:textFill>
        </w:rPr>
        <w:t>、其他需要说明的问题</w:t>
      </w:r>
    </w:p>
    <w:p w14:paraId="38DD406D">
      <w:pPr>
        <w:snapToGrid w:val="0"/>
        <w:spacing w:line="360" w:lineRule="auto"/>
        <w:ind w:left="600" w:leftChars="200"/>
        <w:rPr>
          <w:rFonts w:hint="eastAsia"/>
        </w:rPr>
      </w:pPr>
      <w:r>
        <w:rPr>
          <w:rFonts w:hint="eastAsia"/>
        </w:rPr>
        <w:t>无</w:t>
      </w:r>
    </w:p>
    <w:p w14:paraId="5FB2D1E3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026947F6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"兰州市口腔医院-专项债券绩效自评报告.xlsx"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兰州市口腔医院-专项债券绩效自评报告.xlsx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2A3C090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EFAF28-BAFA-46CE-AC65-2855AE678E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E36C21-61CC-4E11-9F53-A99E7049EB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2E9F01-0CA6-4C21-9A73-9678AC3334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81E75D-24B4-4385-BDA9-1218A62155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122F7DE-A743-431C-8511-FF90524D07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71F4E6D-DFF9-49F0-8C74-BDE0FDA0C4A1}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20FC4A65-6855-4091-88E8-B37A007BD7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629AC">
    <w:pPr>
      <w:pStyle w:val="6"/>
      <w:tabs>
        <w:tab w:val="clear" w:pos="8306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F04F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3F04F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11AE9"/>
    <w:rsid w:val="0781507A"/>
    <w:rsid w:val="1A4C4338"/>
    <w:rsid w:val="2F322088"/>
    <w:rsid w:val="46E03831"/>
    <w:rsid w:val="4A9916B5"/>
    <w:rsid w:val="511D2CEB"/>
    <w:rsid w:val="557C6707"/>
    <w:rsid w:val="6B9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0"/>
    <w:basedOn w:val="3"/>
    <w:qFormat/>
    <w:uiPriority w:val="0"/>
    <w:pPr>
      <w:spacing w:line="360" w:lineRule="auto"/>
    </w:pPr>
    <w:rPr>
      <w:sz w:val="24"/>
    </w:rPr>
  </w:style>
  <w:style w:type="paragraph" w:customStyle="1" w:styleId="3">
    <w:name w:val="样式9"/>
    <w:basedOn w:val="1"/>
    <w:qFormat/>
    <w:uiPriority w:val="0"/>
    <w:pPr>
      <w:spacing w:line="480" w:lineRule="auto"/>
    </w:pPr>
    <w:rPr>
      <w:rFonts w:ascii="Calibri" w:hAnsi="Calibri"/>
      <w:sz w:val="28"/>
    </w:rPr>
  </w:style>
  <w:style w:type="paragraph" w:styleId="5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/>
      <w:kern w:val="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表格"/>
    <w:basedOn w:val="1"/>
    <w:qFormat/>
    <w:uiPriority w:val="0"/>
    <w:pPr>
      <w:spacing w:line="30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3340</Words>
  <Characters>3561</Characters>
  <Lines>0</Lines>
  <Paragraphs>0</Paragraphs>
  <TotalTime>65</TotalTime>
  <ScaleCrop>false</ScaleCrop>
  <LinksUpToDate>false</LinksUpToDate>
  <CharactersWithSpaces>3564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2025-06-18T06:57:00Z</dcterms:created>
  <dc:creator>hp</dc:creator>
  <cp:lastModifiedBy>欧阳</cp:lastModifiedBy>
  <dcterms:modified xsi:type="dcterms:W3CDTF">2025-06-18T08:43:37Z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eyJoZGlkIjoiMDRhZmRlYmZjODRkZDk1ZmJiYzlmZGRhZTA0OTZkNTYiLCJ1c2VySWQiOiI1OTMzMzI2NzYifQ==</vt:lpwstr>
  </property>
  <property fmtid="{D5CDD505-2E9C-101B-9397-08002B2CF9AE}" pid="4" name="ICV">
    <vt:lpwstr>2CCAFE8D84664EF3AB36FBE6910E43C4_12</vt:lpwstr>
  </property>
</Properties>
</file>