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r>
        <w:rPr>
          <w:rFonts w:hint="eastAsia"/>
          <w:b/>
          <w:bCs/>
          <w:sz w:val="48"/>
          <w:szCs w:val="48"/>
        </w:rPr>
        <w:t>财政支出项目绩效评价报告</w:t>
      </w: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rPr>
          <w:rFonts w:ascii="仿宋_GB2312" w:hAnsi="仿宋_GB2312" w:cs="仿宋_GB2312"/>
          <w:sz w:val="32"/>
          <w:szCs w:val="32"/>
        </w:rPr>
      </w:pPr>
      <w:r>
        <w:rPr>
          <w:rFonts w:hint="eastAsia" w:ascii="仿宋_GB2312" w:hAnsi="仿宋_GB2312" w:cs="仿宋_GB2312"/>
          <w:sz w:val="32"/>
          <w:szCs w:val="32"/>
        </w:rPr>
        <w:t>项目名称：</w:t>
      </w:r>
      <w:r>
        <w:rPr>
          <w:rFonts w:ascii="仿宋_GB2312" w:hAnsi="仿宋_GB2312" w:cs="仿宋_GB2312"/>
          <w:sz w:val="32"/>
          <w:szCs w:val="32"/>
        </w:rPr>
        <w:t xml:space="preserve"> </w:t>
      </w:r>
      <w:r>
        <w:rPr>
          <w:rFonts w:hint="eastAsia" w:ascii="仿宋_GB2312" w:hAnsi="仿宋_GB2312" w:cs="仿宋_GB2312"/>
          <w:sz w:val="32"/>
          <w:szCs w:val="32"/>
        </w:rPr>
        <w:t>兰州市口腔医院异地新建项目（地债资金）</w:t>
      </w:r>
    </w:p>
    <w:p>
      <w:pPr>
        <w:rPr>
          <w:rFonts w:ascii="仿宋_GB2312" w:hAnsi="仿宋_GB2312" w:cs="仿宋_GB2312"/>
          <w:sz w:val="32"/>
          <w:szCs w:val="32"/>
        </w:rPr>
      </w:pPr>
      <w:r>
        <w:rPr>
          <w:rFonts w:hint="eastAsia" w:ascii="仿宋_GB2312" w:hAnsi="仿宋_GB2312" w:cs="仿宋_GB2312"/>
          <w:sz w:val="32"/>
          <w:szCs w:val="32"/>
        </w:rPr>
        <w:t>主管部门：</w:t>
      </w:r>
      <w:r>
        <w:rPr>
          <w:rFonts w:ascii="仿宋_GB2312" w:hAnsi="仿宋_GB2312" w:cs="仿宋_GB2312"/>
          <w:sz w:val="32"/>
          <w:szCs w:val="32"/>
        </w:rPr>
        <w:t xml:space="preserve"> </w:t>
      </w:r>
      <w:r>
        <w:rPr>
          <w:rFonts w:hint="eastAsia" w:ascii="仿宋_GB2312" w:hAnsi="仿宋_GB2312" w:cs="仿宋_GB2312"/>
          <w:sz w:val="32"/>
          <w:szCs w:val="32"/>
        </w:rPr>
        <w:t>兰州市卫生健康委员会</w:t>
      </w:r>
    </w:p>
    <w:p>
      <w:pPr>
        <w:rPr>
          <w:rFonts w:ascii="仿宋_GB2312" w:hAnsi="仿宋_GB2312" w:cs="仿宋_GB2312"/>
          <w:sz w:val="32"/>
          <w:szCs w:val="32"/>
        </w:rPr>
      </w:pPr>
      <w:r>
        <w:rPr>
          <w:rFonts w:hint="eastAsia" w:ascii="仿宋_GB2312" w:hAnsi="仿宋_GB2312" w:cs="仿宋_GB2312"/>
          <w:sz w:val="32"/>
          <w:szCs w:val="32"/>
        </w:rPr>
        <w:t>项目单位：</w:t>
      </w:r>
      <w:r>
        <w:rPr>
          <w:rFonts w:ascii="仿宋_GB2312" w:hAnsi="仿宋_GB2312" w:cs="仿宋_GB2312"/>
          <w:sz w:val="32"/>
          <w:szCs w:val="32"/>
        </w:rPr>
        <w:t xml:space="preserve"> </w:t>
      </w:r>
      <w:r>
        <w:rPr>
          <w:rFonts w:hint="eastAsia" w:ascii="仿宋_GB2312" w:hAnsi="仿宋_GB2312" w:cs="仿宋_GB2312"/>
          <w:sz w:val="32"/>
          <w:szCs w:val="32"/>
        </w:rPr>
        <w:t>兰州市口腔医院</w:t>
      </w:r>
    </w:p>
    <w:p>
      <w:pPr>
        <w:rPr>
          <w:rFonts w:ascii="仿宋_GB2312" w:hAnsi="仿宋_GB2312" w:cs="仿宋_GB2312"/>
          <w:sz w:val="32"/>
          <w:szCs w:val="32"/>
        </w:rPr>
      </w:pPr>
      <w:r>
        <w:rPr>
          <w:rFonts w:hint="eastAsia" w:ascii="仿宋_GB2312" w:hAnsi="仿宋_GB2312" w:cs="仿宋_GB2312"/>
          <w:sz w:val="32"/>
          <w:szCs w:val="32"/>
        </w:rPr>
        <w:t>评价时间：</w:t>
      </w:r>
      <w:r>
        <w:rPr>
          <w:rFonts w:ascii="仿宋_GB2312" w:hAnsi="仿宋_GB2312" w:cs="仿宋_GB2312"/>
          <w:sz w:val="32"/>
          <w:szCs w:val="32"/>
        </w:rPr>
        <w:t xml:space="preserve"> </w:t>
      </w:r>
      <w:r>
        <w:rPr>
          <w:rFonts w:hint="eastAsia" w:ascii="仿宋_GB2312" w:hAnsi="仿宋_GB2312" w:cs="仿宋_GB2312"/>
          <w:sz w:val="32"/>
          <w:szCs w:val="32"/>
        </w:rPr>
        <w:t>2022年7月5日-9月30日</w:t>
      </w:r>
    </w:p>
    <w:p>
      <w:pPr>
        <w:rPr>
          <w:rFonts w:ascii="仿宋_GB2312" w:hAnsi="仿宋_GB2312" w:cs="仿宋_GB2312"/>
          <w:sz w:val="32"/>
          <w:szCs w:val="32"/>
        </w:rPr>
      </w:pPr>
      <w:r>
        <w:rPr>
          <w:rFonts w:hint="eastAsia" w:ascii="仿宋_GB2312" w:hAnsi="仿宋_GB2312" w:cs="仿宋_GB2312"/>
          <w:sz w:val="32"/>
          <w:szCs w:val="32"/>
        </w:rPr>
        <w:t xml:space="preserve">组织方式： 财政部门    </w:t>
      </w:r>
    </w:p>
    <w:p>
      <w:pPr>
        <w:spacing w:line="360" w:lineRule="auto"/>
        <w:rPr>
          <w:rFonts w:ascii="华文中宋" w:hAnsi="华文中宋" w:eastAsia="华文中宋" w:cs="华文中宋"/>
          <w:spacing w:val="20"/>
          <w:kern w:val="0"/>
          <w:sz w:val="36"/>
          <w:szCs w:val="36"/>
          <w:lang w:bidi="en-US"/>
        </w:rPr>
      </w:pPr>
      <w:r>
        <w:rPr>
          <w:rFonts w:hint="eastAsia" w:ascii="仿宋_GB2312" w:hAnsi="仿宋_GB2312" w:cs="仿宋_GB2312"/>
          <w:sz w:val="32"/>
          <w:szCs w:val="32"/>
        </w:rPr>
        <w:t xml:space="preserve">评价机构： 中介机构    </w:t>
      </w:r>
    </w:p>
    <w:p>
      <w:pPr>
        <w:spacing w:line="360" w:lineRule="auto"/>
        <w:jc w:val="center"/>
        <w:rPr>
          <w:rFonts w:ascii="华文中宋" w:hAnsi="华文中宋" w:eastAsia="华文中宋" w:cs="华文中宋"/>
          <w:spacing w:val="20"/>
          <w:kern w:val="0"/>
          <w:sz w:val="36"/>
          <w:szCs w:val="36"/>
          <w:lang w:bidi="en-US"/>
        </w:rPr>
      </w:pPr>
    </w:p>
    <w:p>
      <w:pPr>
        <w:spacing w:line="360" w:lineRule="auto"/>
        <w:jc w:val="center"/>
        <w:rPr>
          <w:rFonts w:ascii="华文中宋" w:hAnsi="华文中宋" w:eastAsia="华文中宋" w:cs="华文中宋"/>
          <w:spacing w:val="20"/>
          <w:kern w:val="0"/>
          <w:sz w:val="36"/>
          <w:szCs w:val="36"/>
          <w:lang w:bidi="en-US"/>
        </w:rPr>
      </w:pPr>
    </w:p>
    <w:p>
      <w:pPr>
        <w:spacing w:line="360" w:lineRule="auto"/>
        <w:jc w:val="center"/>
        <w:rPr>
          <w:rFonts w:ascii="华文中宋" w:hAnsi="华文中宋" w:eastAsia="华文中宋" w:cs="华文中宋"/>
          <w:spacing w:val="20"/>
          <w:kern w:val="0"/>
          <w:sz w:val="36"/>
          <w:szCs w:val="36"/>
          <w:lang w:bidi="en-US"/>
        </w:rPr>
      </w:pPr>
    </w:p>
    <w:p>
      <w:pPr>
        <w:spacing w:line="360" w:lineRule="auto"/>
        <w:jc w:val="center"/>
        <w:rPr>
          <w:rFonts w:ascii="华文中宋" w:hAnsi="华文中宋" w:eastAsia="华文中宋" w:cs="华文中宋"/>
          <w:spacing w:val="20"/>
          <w:kern w:val="0"/>
          <w:sz w:val="36"/>
          <w:szCs w:val="36"/>
          <w:lang w:bidi="en-US"/>
        </w:rPr>
      </w:pPr>
    </w:p>
    <w:p>
      <w:pPr>
        <w:spacing w:line="360" w:lineRule="auto"/>
        <w:jc w:val="center"/>
        <w:outlineLvl w:val="0"/>
        <w:rPr>
          <w:rFonts w:ascii="华文中宋" w:hAnsi="华文中宋" w:eastAsia="华文中宋" w:cs="华文中宋"/>
          <w:spacing w:val="20"/>
          <w:kern w:val="0"/>
          <w:sz w:val="36"/>
          <w:szCs w:val="36"/>
          <w:lang w:bidi="en-US"/>
        </w:rPr>
        <w:sectPr>
          <w:footerReference r:id="rId3" w:type="default"/>
          <w:pgSz w:w="11906" w:h="16838"/>
          <w:pgMar w:top="1440" w:right="1800" w:bottom="1440" w:left="1800" w:header="851" w:footer="992" w:gutter="0"/>
          <w:cols w:space="425" w:num="1"/>
          <w:docGrid w:type="lines" w:linePitch="312" w:charSpace="0"/>
        </w:sectPr>
      </w:pPr>
      <w:bookmarkStart w:id="0" w:name="_Toc10351"/>
      <w:bookmarkStart w:id="1" w:name="_Toc30189"/>
      <w:bookmarkStart w:id="2" w:name="_Toc16369"/>
    </w:p>
    <w:bookmarkEnd w:id="0"/>
    <w:bookmarkEnd w:id="1"/>
    <w:bookmarkEnd w:id="2"/>
    <w:p>
      <w:pPr>
        <w:spacing w:line="360" w:lineRule="auto"/>
        <w:jc w:val="center"/>
        <w:outlineLvl w:val="0"/>
        <w:rPr>
          <w:rFonts w:ascii="华文中宋" w:hAnsi="华文中宋" w:eastAsia="华文中宋" w:cs="华文中宋"/>
          <w:spacing w:val="20"/>
          <w:kern w:val="0"/>
          <w:sz w:val="36"/>
          <w:szCs w:val="36"/>
          <w:lang w:bidi="en-US"/>
        </w:rPr>
      </w:pPr>
      <w:r>
        <w:rPr>
          <w:rFonts w:hint="eastAsia" w:ascii="华文中宋" w:hAnsi="华文中宋" w:eastAsia="华文中宋" w:cs="华文中宋"/>
          <w:spacing w:val="20"/>
          <w:kern w:val="0"/>
          <w:sz w:val="36"/>
          <w:szCs w:val="36"/>
          <w:lang w:bidi="en-US"/>
        </w:rPr>
        <w:t>兰州市口腔医院异地新建项目</w:t>
      </w:r>
    </w:p>
    <w:p>
      <w:pPr>
        <w:spacing w:line="360" w:lineRule="auto"/>
        <w:jc w:val="center"/>
        <w:outlineLvl w:val="0"/>
        <w:rPr>
          <w:rFonts w:hint="eastAsia" w:ascii="华文中宋" w:hAnsi="华文中宋" w:eastAsia="华文中宋" w:cs="华文中宋"/>
          <w:spacing w:val="20"/>
          <w:kern w:val="0"/>
          <w:sz w:val="36"/>
          <w:szCs w:val="36"/>
          <w:lang w:bidi="en-US"/>
        </w:rPr>
      </w:pPr>
      <w:r>
        <w:rPr>
          <w:rFonts w:hint="eastAsia" w:ascii="华文中宋" w:hAnsi="华文中宋" w:eastAsia="华文中宋" w:cs="华文中宋"/>
          <w:spacing w:val="20"/>
          <w:kern w:val="0"/>
          <w:sz w:val="36"/>
          <w:szCs w:val="36"/>
          <w:lang w:bidi="en-US"/>
        </w:rPr>
        <w:t>（地债资金）绩效评价报告</w:t>
      </w:r>
    </w:p>
    <w:p>
      <w:pPr>
        <w:pStyle w:val="13"/>
        <w:jc w:val="both"/>
      </w:pPr>
    </w:p>
    <w:p>
      <w:pPr>
        <w:adjustRightInd w:val="0"/>
        <w:spacing w:line="360" w:lineRule="auto"/>
        <w:ind w:firstLine="640" w:firstLineChars="200"/>
        <w:rPr>
          <w:rFonts w:ascii="楷体_GB2312" w:eastAsia="黑体"/>
          <w:sz w:val="32"/>
          <w:szCs w:val="32"/>
        </w:rPr>
      </w:pPr>
      <w:bookmarkStart w:id="3" w:name="_Toc22665"/>
      <w:bookmarkStart w:id="4" w:name="_Toc40284059"/>
      <w:bookmarkStart w:id="5" w:name="_Toc2564"/>
      <w:r>
        <w:rPr>
          <w:rFonts w:hint="eastAsia" w:ascii="黑体" w:hAnsi="黑体" w:eastAsia="黑体" w:cs="黑体"/>
          <w:bCs/>
          <w:sz w:val="32"/>
          <w:szCs w:val="32"/>
          <w:lang w:bidi="en-US"/>
        </w:rPr>
        <w:t>一、</w:t>
      </w:r>
      <w:bookmarkEnd w:id="3"/>
      <w:bookmarkEnd w:id="4"/>
      <w:r>
        <w:rPr>
          <w:rFonts w:hint="eastAsia" w:ascii="黑体" w:hAnsi="黑体" w:eastAsia="黑体" w:cs="黑体"/>
          <w:bCs/>
          <w:sz w:val="32"/>
          <w:szCs w:val="32"/>
          <w:lang w:bidi="en-US"/>
        </w:rPr>
        <w:t>项目基本情况</w:t>
      </w:r>
      <w:bookmarkEnd w:id="5"/>
    </w:p>
    <w:p>
      <w:pPr>
        <w:pStyle w:val="5"/>
        <w:snapToGrid/>
        <w:spacing w:line="360" w:lineRule="auto"/>
        <w:ind w:firstLine="640" w:firstLineChars="200"/>
        <w:rPr>
          <w:rFonts w:ascii="楷体" w:hAnsi="楷体" w:eastAsia="楷体_GB2312" w:cs="楷体"/>
          <w:b/>
          <w:bCs/>
          <w:kern w:val="2"/>
          <w:sz w:val="32"/>
          <w:szCs w:val="32"/>
        </w:rPr>
      </w:pPr>
      <w:bookmarkStart w:id="6" w:name="_Toc6587"/>
      <w:r>
        <w:rPr>
          <w:rFonts w:hint="eastAsia" w:ascii="楷体_GB2312" w:eastAsia="楷体_GB2312"/>
          <w:kern w:val="2"/>
          <w:sz w:val="32"/>
          <w:szCs w:val="32"/>
        </w:rPr>
        <w:t>（一）项目立项背景及实施</w:t>
      </w:r>
      <w:bookmarkEnd w:id="6"/>
      <w:r>
        <w:rPr>
          <w:rFonts w:hint="eastAsia" w:ascii="楷体_GB2312" w:eastAsia="楷体_GB2312"/>
          <w:kern w:val="2"/>
          <w:sz w:val="32"/>
          <w:szCs w:val="32"/>
        </w:rPr>
        <w:t>目的</w:t>
      </w:r>
    </w:p>
    <w:p>
      <w:pPr>
        <w:pStyle w:val="5"/>
        <w:snapToGrid/>
        <w:spacing w:line="360" w:lineRule="auto"/>
        <w:ind w:firstLine="640" w:firstLineChars="200"/>
        <w:rPr>
          <w:sz w:val="32"/>
          <w:szCs w:val="32"/>
        </w:rPr>
      </w:pPr>
      <w:bookmarkStart w:id="7" w:name="_Toc30523"/>
      <w:bookmarkStart w:id="8" w:name="_Toc27035"/>
      <w:bookmarkStart w:id="9" w:name="_Toc18348"/>
      <w:r>
        <w:rPr>
          <w:rFonts w:hint="eastAsia"/>
          <w:sz w:val="32"/>
          <w:szCs w:val="32"/>
        </w:rPr>
        <w:t>兰州市口腔医院是甘肃省最早的一所口腔专科医院，随着诊疗范围的扩大和病源量的增加，业务用房已远不能满足患者诊疗和医院发展需要，为进一步扩大和完善市口腔医院的服务范围和服务职能，更好地为省、市居民提供安全、有效、方便的三级甲等口腔医疗卫生服务，将新建项目地址选在城关区雁滩。</w:t>
      </w:r>
      <w:bookmarkEnd w:id="7"/>
      <w:bookmarkEnd w:id="8"/>
    </w:p>
    <w:p>
      <w:pPr>
        <w:pStyle w:val="5"/>
        <w:snapToGrid/>
        <w:spacing w:line="360" w:lineRule="auto"/>
        <w:ind w:firstLine="640" w:firstLineChars="200"/>
        <w:rPr>
          <w:rFonts w:ascii="楷体_GB2312" w:eastAsia="楷体_GB2312"/>
          <w:kern w:val="2"/>
          <w:sz w:val="32"/>
          <w:szCs w:val="32"/>
        </w:rPr>
      </w:pPr>
      <w:r>
        <w:rPr>
          <w:rFonts w:hint="eastAsia" w:ascii="楷体_GB2312" w:eastAsia="楷体_GB2312"/>
          <w:kern w:val="2"/>
          <w:sz w:val="32"/>
          <w:szCs w:val="32"/>
        </w:rPr>
        <w:t>（二）</w:t>
      </w:r>
      <w:bookmarkEnd w:id="9"/>
      <w:r>
        <w:rPr>
          <w:rFonts w:hint="eastAsia" w:ascii="楷体_GB2312" w:eastAsia="楷体_GB2312"/>
          <w:kern w:val="2"/>
          <w:sz w:val="32"/>
          <w:szCs w:val="32"/>
        </w:rPr>
        <w:t>项目预算安排和支出情况</w:t>
      </w:r>
    </w:p>
    <w:p>
      <w:pPr>
        <w:adjustRightInd w:val="0"/>
        <w:spacing w:line="360" w:lineRule="auto"/>
        <w:ind w:firstLine="640" w:firstLineChars="200"/>
        <w:rPr>
          <w:rFonts w:ascii="仿宋_GB2312"/>
          <w:kern w:val="0"/>
          <w:sz w:val="32"/>
          <w:szCs w:val="32"/>
        </w:rPr>
      </w:pPr>
      <w:r>
        <w:rPr>
          <w:rFonts w:hint="eastAsia" w:ascii="仿宋_GB2312"/>
          <w:kern w:val="0"/>
          <w:sz w:val="32"/>
          <w:szCs w:val="32"/>
        </w:rPr>
        <w:t>1.项目预算安排</w:t>
      </w:r>
    </w:p>
    <w:p>
      <w:pPr>
        <w:adjustRightInd w:val="0"/>
        <w:spacing w:line="360" w:lineRule="auto"/>
        <w:ind w:firstLine="640" w:firstLineChars="200"/>
        <w:rPr>
          <w:rFonts w:ascii="仿宋_GB2312"/>
          <w:sz w:val="32"/>
          <w:szCs w:val="32"/>
        </w:rPr>
      </w:pPr>
      <w:r>
        <w:rPr>
          <w:rFonts w:hint="eastAsia" w:ascii="仿宋_GB2312"/>
          <w:kern w:val="0"/>
          <w:sz w:val="32"/>
          <w:szCs w:val="32"/>
        </w:rPr>
        <w:t>项目预算安排资金55,957.00万元，其中：一般公共预算资金</w:t>
      </w:r>
      <w:r>
        <w:rPr>
          <w:rFonts w:hint="eastAsia" w:ascii="仿宋_GB2312"/>
          <w:sz w:val="32"/>
          <w:szCs w:val="32"/>
        </w:rPr>
        <w:t>4,757.00万元，专项债券资金共45,000.00万元，前期经费200.00万元，中央转移抗疫国债6,000.00万元。</w:t>
      </w:r>
    </w:p>
    <w:p>
      <w:pPr>
        <w:adjustRightInd w:val="0"/>
        <w:spacing w:line="360" w:lineRule="auto"/>
        <w:ind w:firstLine="640" w:firstLineChars="200"/>
        <w:rPr>
          <w:rFonts w:ascii="仿宋_GB2312"/>
          <w:sz w:val="32"/>
          <w:szCs w:val="32"/>
        </w:rPr>
      </w:pPr>
      <w:r>
        <w:rPr>
          <w:rFonts w:hint="eastAsia" w:ascii="仿宋_GB2312"/>
          <w:sz w:val="32"/>
          <w:szCs w:val="32"/>
        </w:rPr>
        <w:t>2.项目支出情况</w:t>
      </w:r>
    </w:p>
    <w:p>
      <w:pPr>
        <w:adjustRightInd w:val="0"/>
        <w:spacing w:line="360" w:lineRule="auto"/>
        <w:ind w:firstLine="640" w:firstLineChars="200"/>
        <w:rPr>
          <w:rFonts w:ascii="仿宋_GB2312"/>
          <w:color w:val="auto"/>
          <w:sz w:val="32"/>
          <w:szCs w:val="32"/>
        </w:rPr>
      </w:pPr>
      <w:r>
        <w:rPr>
          <w:rFonts w:hint="eastAsia" w:ascii="仿宋_GB2312"/>
          <w:color w:val="auto"/>
          <w:sz w:val="32"/>
          <w:szCs w:val="32"/>
        </w:rPr>
        <w:t>截止2021年12月31日总计支出35,238.35万元。</w:t>
      </w:r>
    </w:p>
    <w:p>
      <w:pPr>
        <w:pStyle w:val="5"/>
        <w:snapToGrid/>
        <w:spacing w:line="360" w:lineRule="auto"/>
        <w:ind w:firstLine="640" w:firstLineChars="200"/>
        <w:rPr>
          <w:rFonts w:ascii="楷体_GB2312" w:eastAsia="楷体_GB2312"/>
          <w:kern w:val="2"/>
          <w:sz w:val="32"/>
          <w:szCs w:val="32"/>
        </w:rPr>
      </w:pPr>
      <w:r>
        <w:rPr>
          <w:rFonts w:hint="eastAsia" w:ascii="楷体_GB2312" w:eastAsia="楷体_GB2312"/>
          <w:kern w:val="2"/>
          <w:sz w:val="32"/>
          <w:szCs w:val="32"/>
        </w:rPr>
        <w:t>（三）项目主要内容和实施情况</w:t>
      </w:r>
    </w:p>
    <w:p>
      <w:pPr>
        <w:pStyle w:val="9"/>
        <w:widowControl/>
        <w:spacing w:before="0" w:beforeAutospacing="0" w:after="0" w:afterAutospacing="0" w:line="360" w:lineRule="auto"/>
        <w:ind w:firstLine="640" w:firstLineChars="200"/>
        <w:rPr>
          <w:rFonts w:ascii="仿宋_GB2312"/>
          <w:sz w:val="32"/>
          <w:szCs w:val="32"/>
        </w:rPr>
      </w:pPr>
      <w:r>
        <w:rPr>
          <w:rFonts w:hint="eastAsia" w:ascii="仿宋_GB2312"/>
          <w:sz w:val="32"/>
          <w:szCs w:val="32"/>
        </w:rPr>
        <w:t>兰州市口腔医院异地新建项目总建筑面积为46,370.13平方米。其中：医疗综合楼45,860.13平方米，地下二层、地上北楼八层、南楼五层；液氧站100平方米；垃圾污水处理站410平方米。</w:t>
      </w:r>
    </w:p>
    <w:p>
      <w:pPr>
        <w:pStyle w:val="9"/>
        <w:widowControl/>
        <w:spacing w:before="0" w:beforeAutospacing="0" w:after="0" w:afterAutospacing="0" w:line="360" w:lineRule="auto"/>
        <w:ind w:firstLine="640" w:firstLineChars="200"/>
        <w:rPr>
          <w:rFonts w:ascii="仿宋_GB2312"/>
          <w:sz w:val="32"/>
          <w:szCs w:val="32"/>
        </w:rPr>
      </w:pPr>
      <w:r>
        <w:rPr>
          <w:rFonts w:hint="eastAsia" w:ascii="仿宋_GB2312"/>
          <w:sz w:val="32"/>
          <w:szCs w:val="32"/>
        </w:rPr>
        <w:t>该项目2020年11月1日正式开工，2021年10月3日完成主体结构封顶；2022年3月全面进入装饰安装工程；2022年4月完成液氧站主体结构、二次结构及粗装修施工；2022年6月完成了垃圾污水处理站主体工程；预计2022年10月完成精装修工程施工；预计2022年11月完成机电安装工程；预计2022年12月完成室外工程。项目计划于2023年7月交付。截止2021年12月31日医疗综合楼主体工程完工率100%，通风空调工程完工率5.77%，扶梯安装6部。</w:t>
      </w:r>
    </w:p>
    <w:p>
      <w:pPr>
        <w:adjustRightInd w:val="0"/>
        <w:spacing w:line="360" w:lineRule="auto"/>
        <w:ind w:firstLine="640" w:firstLineChars="200"/>
        <w:rPr>
          <w:rFonts w:ascii="黑体" w:hAnsi="黑体" w:eastAsia="黑体" w:cs="黑体"/>
          <w:bCs/>
          <w:sz w:val="32"/>
          <w:szCs w:val="32"/>
          <w:lang w:bidi="en-US"/>
        </w:rPr>
      </w:pPr>
      <w:bookmarkStart w:id="10" w:name="_Toc31738"/>
      <w:bookmarkStart w:id="11" w:name="_Toc15315"/>
      <w:bookmarkStart w:id="12" w:name="_Toc13216"/>
      <w:r>
        <w:rPr>
          <w:rFonts w:hint="eastAsia" w:ascii="黑体" w:hAnsi="黑体" w:eastAsia="黑体" w:cs="黑体"/>
          <w:bCs/>
          <w:sz w:val="32"/>
          <w:szCs w:val="32"/>
          <w:lang w:bidi="en-US"/>
        </w:rPr>
        <w:t>二、项目绩效目标</w:t>
      </w:r>
    </w:p>
    <w:p>
      <w:pPr>
        <w:pStyle w:val="5"/>
        <w:snapToGrid/>
        <w:spacing w:line="360" w:lineRule="auto"/>
        <w:ind w:firstLine="640" w:firstLineChars="200"/>
        <w:rPr>
          <w:kern w:val="2"/>
          <w:sz w:val="32"/>
          <w:szCs w:val="32"/>
        </w:rPr>
      </w:pPr>
      <w:r>
        <w:rPr>
          <w:rFonts w:hint="eastAsia" w:ascii="楷体_GB2312" w:eastAsia="楷体_GB2312"/>
          <w:kern w:val="2"/>
          <w:sz w:val="32"/>
          <w:szCs w:val="32"/>
        </w:rPr>
        <w:t>（一）项目总体目标</w:t>
      </w:r>
    </w:p>
    <w:p>
      <w:pPr>
        <w:pStyle w:val="5"/>
        <w:snapToGrid/>
        <w:spacing w:line="360" w:lineRule="auto"/>
        <w:ind w:firstLine="640" w:firstLineChars="200"/>
        <w:rPr>
          <w:kern w:val="2"/>
          <w:sz w:val="32"/>
          <w:szCs w:val="32"/>
        </w:rPr>
      </w:pPr>
      <w:r>
        <w:rPr>
          <w:rFonts w:hint="eastAsia"/>
          <w:kern w:val="2"/>
          <w:sz w:val="32"/>
          <w:szCs w:val="32"/>
        </w:rPr>
        <w:t>本项目总体绩效目标是建成一个功能完善、流线清晰、布局合理、绿色节能的现代化三级甲等口腔专科医院。</w:t>
      </w:r>
    </w:p>
    <w:p>
      <w:pPr>
        <w:pStyle w:val="5"/>
        <w:snapToGrid/>
        <w:spacing w:line="360" w:lineRule="auto"/>
        <w:ind w:firstLine="640" w:firstLineChars="200"/>
        <w:rPr>
          <w:rFonts w:ascii="楷体_GB2312" w:eastAsia="楷体_GB2312"/>
          <w:kern w:val="2"/>
          <w:sz w:val="32"/>
          <w:szCs w:val="32"/>
        </w:rPr>
      </w:pPr>
      <w:r>
        <w:rPr>
          <w:rFonts w:hint="eastAsia"/>
          <w:kern w:val="2"/>
          <w:sz w:val="32"/>
          <w:szCs w:val="32"/>
        </w:rPr>
        <w:t>（二）</w:t>
      </w:r>
      <w:r>
        <w:rPr>
          <w:rFonts w:hint="eastAsia" w:ascii="楷体_GB2312" w:eastAsia="楷体_GB2312"/>
          <w:kern w:val="2"/>
          <w:sz w:val="32"/>
          <w:szCs w:val="32"/>
        </w:rPr>
        <w:t>2021年度绩效目标</w:t>
      </w:r>
    </w:p>
    <w:p>
      <w:pPr>
        <w:pStyle w:val="5"/>
        <w:snapToGrid/>
        <w:spacing w:line="360" w:lineRule="auto"/>
        <w:ind w:firstLine="640" w:firstLineChars="200"/>
        <w:rPr>
          <w:kern w:val="2"/>
          <w:sz w:val="32"/>
          <w:szCs w:val="32"/>
        </w:rPr>
      </w:pPr>
      <w:r>
        <w:rPr>
          <w:rFonts w:hint="eastAsia"/>
          <w:sz w:val="32"/>
          <w:szCs w:val="32"/>
        </w:rPr>
        <w:t>2021年10月完成医疗综合楼主体工程，通风空调工程完成形象进度68%，完成6部自动扶梯安装，精装修完成形象进度54.81%，智能化工程完成形象进度46.47%，机械停车库完成形象进度59.25%，锅炉房及热力工程完成形象进度50%，室外工程完成形象进度3.5%。</w:t>
      </w:r>
    </w:p>
    <w:p>
      <w:pPr>
        <w:pStyle w:val="13"/>
        <w:spacing w:line="360" w:lineRule="auto"/>
        <w:ind w:firstLine="640" w:firstLineChars="200"/>
        <w:jc w:val="both"/>
        <w:rPr>
          <w:sz w:val="32"/>
          <w:szCs w:val="32"/>
        </w:rPr>
      </w:pPr>
      <w:bookmarkStart w:id="13" w:name="_Toc15489"/>
      <w:r>
        <w:rPr>
          <w:rFonts w:hint="eastAsia" w:ascii="宋体" w:hAnsi="宋体" w:eastAsia="黑体" w:cs="宋体"/>
          <w:kern w:val="36"/>
          <w:sz w:val="32"/>
          <w:szCs w:val="32"/>
        </w:rPr>
        <w:t>三、评价基本情况</w:t>
      </w:r>
      <w:bookmarkEnd w:id="13"/>
    </w:p>
    <w:p>
      <w:pPr>
        <w:spacing w:line="360" w:lineRule="auto"/>
        <w:ind w:firstLine="640" w:firstLineChars="200"/>
        <w:rPr>
          <w:rFonts w:ascii="楷体_GB2312" w:eastAsia="楷体_GB2312"/>
          <w:sz w:val="32"/>
          <w:szCs w:val="32"/>
        </w:rPr>
      </w:pPr>
      <w:bookmarkStart w:id="14" w:name="_Toc27573"/>
      <w:r>
        <w:rPr>
          <w:rFonts w:hint="eastAsia" w:ascii="楷体_GB2312" w:eastAsia="楷体_GB2312"/>
          <w:sz w:val="32"/>
          <w:szCs w:val="32"/>
        </w:rPr>
        <w:t>（一）绩效评价目的</w:t>
      </w:r>
      <w:bookmarkEnd w:id="14"/>
    </w:p>
    <w:p>
      <w:pPr>
        <w:pStyle w:val="5"/>
        <w:adjustRightInd w:val="0"/>
        <w:snapToGrid/>
        <w:spacing w:line="360" w:lineRule="auto"/>
        <w:rPr>
          <w:kern w:val="2"/>
          <w:sz w:val="32"/>
          <w:szCs w:val="32"/>
        </w:rPr>
      </w:pPr>
      <w:r>
        <w:rPr>
          <w:rFonts w:hint="eastAsia"/>
          <w:kern w:val="2"/>
          <w:sz w:val="32"/>
          <w:szCs w:val="32"/>
        </w:rPr>
        <w:t>通过综合评价，反映项目实施成效，发现存在的问题，提出改进意见和建议。</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（二）对象和范围</w:t>
      </w:r>
    </w:p>
    <w:p>
      <w:pPr>
        <w:pStyle w:val="13"/>
        <w:spacing w:line="360" w:lineRule="auto"/>
        <w:ind w:firstLine="640" w:firstLineChars="200"/>
        <w:jc w:val="both"/>
        <w:rPr>
          <w:rFonts w:ascii="仿宋_GB2312"/>
          <w:sz w:val="32"/>
          <w:szCs w:val="32"/>
        </w:rPr>
      </w:pPr>
      <w:bookmarkStart w:id="15" w:name="_Toc11638"/>
      <w:r>
        <w:rPr>
          <w:rFonts w:hint="eastAsia" w:ascii="仿宋_GB2312"/>
          <w:sz w:val="32"/>
          <w:szCs w:val="32"/>
        </w:rPr>
        <w:t>本次评价的对象是兰州市口腔医院异地新建项目202</w:t>
      </w:r>
      <w:r>
        <w:rPr>
          <w:rFonts w:ascii="仿宋_GB2312"/>
          <w:sz w:val="32"/>
          <w:szCs w:val="32"/>
        </w:rPr>
        <w:t>1</w:t>
      </w:r>
      <w:r>
        <w:rPr>
          <w:rFonts w:hint="eastAsia" w:ascii="仿宋_GB2312"/>
          <w:sz w:val="32"/>
          <w:szCs w:val="32"/>
        </w:rPr>
        <w:t>年的专项债券资金项目执行情况；评价范围为本项目专项债券资金25,</w:t>
      </w:r>
      <w:r>
        <w:rPr>
          <w:rFonts w:ascii="仿宋_GB2312"/>
          <w:sz w:val="32"/>
          <w:szCs w:val="32"/>
        </w:rPr>
        <w:t>000</w:t>
      </w:r>
      <w:r>
        <w:rPr>
          <w:rFonts w:hint="eastAsia" w:ascii="仿宋_GB2312"/>
          <w:sz w:val="32"/>
          <w:szCs w:val="32"/>
        </w:rPr>
        <w:t>.</w:t>
      </w:r>
      <w:r>
        <w:rPr>
          <w:rFonts w:ascii="仿宋_GB2312"/>
          <w:sz w:val="32"/>
          <w:szCs w:val="32"/>
        </w:rPr>
        <w:t>0</w:t>
      </w:r>
      <w:r>
        <w:rPr>
          <w:rFonts w:hint="eastAsia" w:ascii="仿宋_GB2312"/>
          <w:sz w:val="32"/>
          <w:szCs w:val="32"/>
        </w:rPr>
        <w:t>0万元使用情况。</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（三）绩效评价原则、评价方法</w:t>
      </w:r>
      <w:bookmarkEnd w:id="15"/>
    </w:p>
    <w:p>
      <w:pPr>
        <w:pStyle w:val="5"/>
        <w:adjustRightInd w:val="0"/>
        <w:snapToGrid/>
        <w:spacing w:line="360" w:lineRule="auto"/>
        <w:ind w:firstLine="640" w:firstLineChars="200"/>
        <w:rPr>
          <w:sz w:val="32"/>
          <w:szCs w:val="32"/>
        </w:rPr>
      </w:pPr>
      <w:r>
        <w:rPr>
          <w:rFonts w:hint="eastAsia"/>
          <w:sz w:val="32"/>
          <w:szCs w:val="32"/>
        </w:rPr>
        <w:t>严格遵循科学公正、统筹兼顾、激励约束、公开透明的原则，主要采用成本效益分析法、比较法、因素分析法、专家评议法等方法，评价绩效目标的实现程度。</w:t>
      </w:r>
    </w:p>
    <w:p>
      <w:pPr>
        <w:pStyle w:val="5"/>
        <w:snapToGrid/>
        <w:spacing w:line="360" w:lineRule="auto"/>
        <w:ind w:firstLine="640" w:firstLineChars="200"/>
        <w:rPr>
          <w:rFonts w:ascii="楷体_GB2312" w:eastAsia="楷体_GB2312"/>
          <w:kern w:val="2"/>
          <w:sz w:val="32"/>
          <w:szCs w:val="32"/>
        </w:rPr>
      </w:pPr>
      <w:r>
        <w:rPr>
          <w:rFonts w:hint="eastAsia" w:ascii="楷体_GB2312" w:eastAsia="楷体_GB2312"/>
          <w:sz w:val="32"/>
          <w:szCs w:val="32"/>
        </w:rPr>
        <w:t>（四）</w:t>
      </w:r>
      <w:r>
        <w:rPr>
          <w:rFonts w:hint="eastAsia" w:ascii="楷体_GB2312" w:eastAsia="楷体_GB2312"/>
          <w:kern w:val="2"/>
          <w:sz w:val="32"/>
          <w:szCs w:val="32"/>
        </w:rPr>
        <w:t>绩效评价工作过程</w:t>
      </w:r>
    </w:p>
    <w:p>
      <w:pPr>
        <w:pStyle w:val="5"/>
        <w:snapToGrid/>
        <w:spacing w:line="360" w:lineRule="auto"/>
        <w:ind w:firstLine="640" w:firstLineChars="200"/>
        <w:rPr>
          <w:sz w:val="32"/>
          <w:szCs w:val="32"/>
        </w:rPr>
      </w:pPr>
      <w:r>
        <w:rPr>
          <w:rFonts w:hint="eastAsia"/>
          <w:sz w:val="32"/>
          <w:szCs w:val="32"/>
        </w:rPr>
        <w:t>1.评价准备阶段：（1）业务培训；（2）制定工作方案；（3）编写相关文本、准备资料；（4）整理、分析资料；（5）制定专家评价手册；（6）组织专家培训。</w:t>
      </w:r>
    </w:p>
    <w:p>
      <w:pPr>
        <w:pStyle w:val="5"/>
        <w:snapToGrid/>
        <w:spacing w:line="360" w:lineRule="auto"/>
        <w:ind w:firstLine="640" w:firstLineChars="200"/>
        <w:rPr>
          <w:sz w:val="32"/>
          <w:szCs w:val="32"/>
        </w:rPr>
      </w:pPr>
      <w:r>
        <w:rPr>
          <w:rFonts w:hint="eastAsia"/>
          <w:sz w:val="32"/>
          <w:szCs w:val="32"/>
        </w:rPr>
        <w:t>2.实施评价阶段：（1）现场调研；（2）专家预备会；（3）专家现场评价；（4）汇总意见。</w:t>
      </w:r>
    </w:p>
    <w:p>
      <w:pPr>
        <w:spacing w:line="360" w:lineRule="auto"/>
        <w:ind w:firstLine="640" w:firstLineChars="200"/>
        <w:rPr>
          <w:rFonts w:ascii="楷体_GB2312" w:eastAsia="楷体_GB2312"/>
          <w:sz w:val="32"/>
          <w:szCs w:val="32"/>
        </w:rPr>
      </w:pPr>
      <w:r>
        <w:rPr>
          <w:rFonts w:hint="eastAsia"/>
          <w:sz w:val="32"/>
          <w:szCs w:val="32"/>
        </w:rPr>
        <w:t>3.形成报告阶段：（1）撰写绩效评价报告；（2）完善绩效评价报告；（3）提交完成终审评价报告。</w:t>
      </w:r>
    </w:p>
    <w:p>
      <w:pPr>
        <w:adjustRightInd w:val="0"/>
        <w:spacing w:line="360" w:lineRule="auto"/>
        <w:ind w:firstLine="640" w:firstLineChars="200"/>
        <w:rPr>
          <w:rFonts w:ascii="黑体" w:hAnsi="黑体" w:eastAsia="黑体" w:cs="黑体"/>
          <w:bCs/>
          <w:sz w:val="32"/>
          <w:szCs w:val="32"/>
          <w:lang w:bidi="en-US"/>
        </w:rPr>
      </w:pPr>
      <w:r>
        <w:rPr>
          <w:rFonts w:hint="eastAsia" w:ascii="黑体" w:hAnsi="黑体" w:eastAsia="黑体" w:cs="黑体"/>
          <w:bCs/>
          <w:sz w:val="32"/>
          <w:szCs w:val="32"/>
          <w:lang w:bidi="en-US"/>
        </w:rPr>
        <w:t>四、评价结论</w:t>
      </w:r>
      <w:bookmarkEnd w:id="10"/>
      <w:bookmarkEnd w:id="11"/>
      <w:r>
        <w:rPr>
          <w:rFonts w:hint="eastAsia" w:ascii="黑体" w:hAnsi="黑体" w:eastAsia="黑体" w:cs="黑体"/>
          <w:bCs/>
          <w:sz w:val="32"/>
          <w:szCs w:val="32"/>
          <w:lang w:bidi="en-US"/>
        </w:rPr>
        <w:t>和绩效分析</w:t>
      </w:r>
    </w:p>
    <w:p>
      <w:pPr>
        <w:adjustRightInd w:val="0"/>
        <w:spacing w:line="360" w:lineRule="auto"/>
        <w:ind w:firstLine="640" w:firstLineChars="200"/>
        <w:rPr>
          <w:sz w:val="32"/>
          <w:szCs w:val="32"/>
        </w:rPr>
      </w:pPr>
      <w:r>
        <w:rPr>
          <w:rFonts w:hint="eastAsia"/>
          <w:sz w:val="32"/>
          <w:szCs w:val="32"/>
        </w:rPr>
        <w:t>经评价，2021年兰州市口腔医院异地新建项目绩效评价综合得分70.94分，对应绩效级别为“中”。具体绩效分析如下：</w:t>
      </w:r>
    </w:p>
    <w:p>
      <w:pPr>
        <w:pStyle w:val="5"/>
        <w:adjustRightInd w:val="0"/>
        <w:snapToGrid/>
        <w:spacing w:line="360" w:lineRule="auto"/>
        <w:ind w:firstLine="640" w:firstLineChars="200"/>
        <w:rPr>
          <w:kern w:val="2"/>
          <w:sz w:val="32"/>
          <w:szCs w:val="32"/>
        </w:rPr>
      </w:pPr>
      <w:r>
        <w:rPr>
          <w:rFonts w:hint="eastAsia"/>
          <w:kern w:val="2"/>
          <w:sz w:val="32"/>
          <w:szCs w:val="32"/>
        </w:rPr>
        <w:t>1.项目决策方面：立项程序规范，前期准备充分，项目与专项债券基本符合，但项目个别绩效指标设置不够完善，项目存在资金闲置情况。</w:t>
      </w:r>
    </w:p>
    <w:p>
      <w:pPr>
        <w:pStyle w:val="5"/>
        <w:adjustRightInd w:val="0"/>
        <w:snapToGrid/>
        <w:spacing w:line="360" w:lineRule="auto"/>
        <w:ind w:firstLine="640" w:firstLineChars="200"/>
        <w:rPr>
          <w:kern w:val="2"/>
          <w:sz w:val="32"/>
          <w:szCs w:val="32"/>
        </w:rPr>
      </w:pPr>
      <w:r>
        <w:rPr>
          <w:rFonts w:hint="eastAsia"/>
          <w:kern w:val="2"/>
          <w:sz w:val="32"/>
          <w:szCs w:val="32"/>
        </w:rPr>
        <w:t>2.项目过程方面：项目管理制度基本健全，招投标和政府采购程序规范，质量控制基本有效，但项目存在专项债券资金支付进度缓慢，建设、验收程序不合规，个别合同签订不规范，项目进度未按计划执行，进度滞后，变更程序不规范、责任划分不明确，项目信息公开不及时、不完整，项目档案管理不规范等问题。</w:t>
      </w:r>
    </w:p>
    <w:p>
      <w:pPr>
        <w:pStyle w:val="5"/>
        <w:adjustRightInd w:val="0"/>
        <w:snapToGrid/>
        <w:spacing w:line="360" w:lineRule="auto"/>
        <w:ind w:firstLine="640" w:firstLineChars="200"/>
        <w:rPr>
          <w:kern w:val="2"/>
          <w:sz w:val="32"/>
          <w:szCs w:val="32"/>
        </w:rPr>
      </w:pPr>
      <w:r>
        <w:rPr>
          <w:rFonts w:hint="eastAsia"/>
          <w:kern w:val="2"/>
          <w:sz w:val="32"/>
          <w:szCs w:val="32"/>
        </w:rPr>
        <w:t>3.项目产出方面：兰州市口腔医院异地新建项目无因质量问题事故发生情况；基础、主体结构验收合格，但主体工程验收质监站网上审核流程未完成；项目尚未按计划完成，项目时效性较差。</w:t>
      </w:r>
    </w:p>
    <w:p>
      <w:pPr>
        <w:pStyle w:val="5"/>
        <w:adjustRightInd w:val="0"/>
        <w:snapToGrid/>
        <w:spacing w:line="360" w:lineRule="auto"/>
        <w:ind w:firstLine="640" w:firstLineChars="200"/>
        <w:rPr>
          <w:rFonts w:eastAsia="楷体_GB2312"/>
          <w:kern w:val="2"/>
          <w:sz w:val="32"/>
          <w:szCs w:val="32"/>
        </w:rPr>
      </w:pPr>
      <w:r>
        <w:rPr>
          <w:rFonts w:hint="eastAsia"/>
          <w:kern w:val="2"/>
          <w:sz w:val="32"/>
          <w:szCs w:val="32"/>
        </w:rPr>
        <w:t>4.项目效益方面：兰州市口腔医院异地新建项目建成后会改善医疗环境，提升医疗水平及科研水平，规模扩大，接收更多患者，项目满意度较高，但项目存在专项债券利息偿还不及时，偿债能力可能较弱等情况。</w:t>
      </w:r>
    </w:p>
    <w:p>
      <w:pPr>
        <w:adjustRightInd w:val="0"/>
        <w:spacing w:line="360" w:lineRule="auto"/>
        <w:ind w:firstLine="960" w:firstLineChars="300"/>
        <w:rPr>
          <w:rFonts w:ascii="黑体" w:hAnsi="黑体" w:eastAsia="黑体" w:cs="黑体"/>
          <w:bCs/>
          <w:sz w:val="32"/>
          <w:szCs w:val="32"/>
          <w:lang w:bidi="en-US"/>
        </w:rPr>
      </w:pPr>
      <w:bookmarkStart w:id="16" w:name="_Toc11649"/>
      <w:r>
        <w:rPr>
          <w:rFonts w:hint="eastAsia" w:ascii="黑体" w:hAnsi="黑体" w:eastAsia="黑体" w:cs="黑体"/>
          <w:bCs/>
          <w:sz w:val="32"/>
          <w:szCs w:val="32"/>
          <w:lang w:bidi="en-US"/>
        </w:rPr>
        <w:t>五、存在问题</w:t>
      </w:r>
      <w:bookmarkEnd w:id="12"/>
      <w:r>
        <w:rPr>
          <w:rFonts w:hint="eastAsia" w:ascii="黑体" w:hAnsi="黑体" w:eastAsia="黑体" w:cs="黑体"/>
          <w:bCs/>
          <w:sz w:val="32"/>
          <w:szCs w:val="32"/>
          <w:lang w:bidi="en-US"/>
        </w:rPr>
        <w:t>及原因分析</w:t>
      </w:r>
      <w:bookmarkEnd w:id="16"/>
    </w:p>
    <w:p>
      <w:pPr>
        <w:pStyle w:val="5"/>
        <w:snapToGrid/>
        <w:spacing w:line="600" w:lineRule="exact"/>
        <w:ind w:firstLine="640" w:firstLineChars="200"/>
        <w:rPr>
          <w:rFonts w:ascii="楷体_GB2312" w:eastAsia="楷体_GB2312"/>
          <w:kern w:val="2"/>
          <w:sz w:val="32"/>
          <w:szCs w:val="32"/>
        </w:rPr>
      </w:pPr>
      <w:r>
        <w:rPr>
          <w:rFonts w:hint="eastAsia" w:ascii="楷体_GB2312" w:eastAsia="楷体_GB2312"/>
          <w:kern w:val="2"/>
          <w:sz w:val="32"/>
          <w:szCs w:val="32"/>
        </w:rPr>
        <w:t>（一）专项债券资金管理方面</w:t>
      </w:r>
    </w:p>
    <w:p>
      <w:pPr>
        <w:pStyle w:val="5"/>
        <w:adjustRightInd w:val="0"/>
        <w:snapToGrid/>
        <w:spacing w:line="360" w:lineRule="auto"/>
        <w:ind w:firstLine="640" w:firstLineChars="200"/>
        <w:rPr>
          <w:b/>
          <w:bCs/>
          <w:kern w:val="2"/>
          <w:sz w:val="32"/>
          <w:szCs w:val="32"/>
        </w:rPr>
      </w:pPr>
      <w:r>
        <w:rPr>
          <w:rFonts w:hint="eastAsia"/>
          <w:kern w:val="2"/>
          <w:sz w:val="32"/>
          <w:szCs w:val="32"/>
          <w:lang w:val="en-US" w:eastAsia="zh-CN"/>
        </w:rPr>
        <w:t>1</w:t>
      </w:r>
      <w:r>
        <w:rPr>
          <w:rFonts w:hint="eastAsia"/>
          <w:kern w:val="2"/>
          <w:sz w:val="32"/>
          <w:szCs w:val="32"/>
        </w:rPr>
        <w:t>.资金支付进度缓慢，影响专项债券资金使用效率</w:t>
      </w:r>
    </w:p>
    <w:p>
      <w:pPr>
        <w:pStyle w:val="5"/>
        <w:adjustRightInd w:val="0"/>
        <w:snapToGrid/>
        <w:spacing w:line="360" w:lineRule="auto"/>
        <w:ind w:firstLine="640" w:firstLineChars="200"/>
        <w:rPr>
          <w:kern w:val="2"/>
          <w:sz w:val="32"/>
          <w:szCs w:val="32"/>
        </w:rPr>
      </w:pPr>
      <w:r>
        <w:rPr>
          <w:rFonts w:hint="eastAsia"/>
          <w:kern w:val="2"/>
          <w:sz w:val="32"/>
          <w:szCs w:val="32"/>
        </w:rPr>
        <w:t>该项目专项债券资金支出率17.13%，专项债券资金支付进度缓慢。原因分析：一是前期土地征拆工作滞后，影响工程开工；二是工程实施过程中进度较慢，影响款项支付；三是项目受新冠疫情影响。</w:t>
      </w:r>
    </w:p>
    <w:p>
      <w:pPr>
        <w:pStyle w:val="5"/>
        <w:adjustRightInd w:val="0"/>
        <w:snapToGrid/>
        <w:spacing w:line="360" w:lineRule="auto"/>
        <w:ind w:firstLine="640" w:firstLineChars="200"/>
        <w:rPr>
          <w:color w:val="auto"/>
          <w:kern w:val="2"/>
          <w:sz w:val="32"/>
          <w:szCs w:val="32"/>
        </w:rPr>
      </w:pPr>
      <w:r>
        <w:rPr>
          <w:rFonts w:hint="eastAsia"/>
          <w:color w:val="auto"/>
          <w:kern w:val="2"/>
          <w:sz w:val="32"/>
          <w:szCs w:val="32"/>
          <w:lang w:val="en-US" w:eastAsia="zh-CN"/>
        </w:rPr>
        <w:t>2</w:t>
      </w:r>
      <w:r>
        <w:rPr>
          <w:rFonts w:hint="eastAsia"/>
          <w:color w:val="auto"/>
          <w:kern w:val="2"/>
          <w:sz w:val="32"/>
          <w:szCs w:val="32"/>
        </w:rPr>
        <w:t>.专项债券利息偿还不及时，债券资金偿还可能存在一定的风险</w:t>
      </w:r>
    </w:p>
    <w:p>
      <w:pPr>
        <w:pStyle w:val="5"/>
        <w:adjustRightInd w:val="0"/>
        <w:snapToGrid/>
        <w:spacing w:line="360" w:lineRule="auto"/>
        <w:ind w:firstLine="640" w:firstLineChars="200"/>
        <w:rPr>
          <w:color w:val="auto"/>
          <w:kern w:val="2"/>
          <w:sz w:val="32"/>
          <w:szCs w:val="32"/>
        </w:rPr>
      </w:pPr>
      <w:r>
        <w:rPr>
          <w:rFonts w:hint="eastAsia"/>
          <w:color w:val="auto"/>
          <w:kern w:val="2"/>
          <w:sz w:val="32"/>
          <w:szCs w:val="32"/>
        </w:rPr>
        <w:t>兰州市口腔医</w:t>
      </w:r>
      <w:bookmarkStart w:id="17" w:name="_GoBack"/>
      <w:bookmarkEnd w:id="17"/>
      <w:r>
        <w:rPr>
          <w:rFonts w:hint="eastAsia"/>
          <w:color w:val="auto"/>
          <w:kern w:val="2"/>
          <w:sz w:val="32"/>
          <w:szCs w:val="32"/>
        </w:rPr>
        <w:t>院尚未开始偿还专项债券资金利息。评价组根据相关资料对项目偿债能力进行分析后，短期内项目偿债能力可能较弱，债券资金偿还可能存在一定的风险。</w:t>
      </w:r>
    </w:p>
    <w:p>
      <w:pPr>
        <w:pStyle w:val="5"/>
        <w:adjustRightInd w:val="0"/>
        <w:snapToGrid/>
        <w:spacing w:line="360" w:lineRule="auto"/>
        <w:ind w:firstLine="640" w:firstLineChars="200"/>
        <w:rPr>
          <w:color w:val="auto"/>
          <w:kern w:val="2"/>
          <w:sz w:val="32"/>
          <w:szCs w:val="32"/>
        </w:rPr>
      </w:pPr>
      <w:r>
        <w:rPr>
          <w:rFonts w:hint="eastAsia"/>
          <w:color w:val="auto"/>
          <w:kern w:val="2"/>
          <w:sz w:val="32"/>
          <w:szCs w:val="32"/>
        </w:rPr>
        <w:t>原因分析：一是项目没有按时交付使用，对债券资金偿还可能产生一定影响；二是该项目建成后实现的收益具有不确定性。</w:t>
      </w:r>
    </w:p>
    <w:p>
      <w:pPr>
        <w:pStyle w:val="5"/>
        <w:adjustRightInd w:val="0"/>
        <w:snapToGrid/>
        <w:spacing w:line="360" w:lineRule="auto"/>
        <w:ind w:firstLine="640" w:firstLineChars="200"/>
        <w:rPr>
          <w:kern w:val="2"/>
          <w:sz w:val="32"/>
          <w:szCs w:val="32"/>
        </w:rPr>
      </w:pPr>
      <w:r>
        <w:rPr>
          <w:rFonts w:hint="eastAsia"/>
          <w:kern w:val="2"/>
          <w:sz w:val="32"/>
          <w:szCs w:val="32"/>
          <w:lang w:val="en-US" w:eastAsia="zh-CN"/>
        </w:rPr>
        <w:t>3</w:t>
      </w:r>
      <w:r>
        <w:rPr>
          <w:rFonts w:hint="eastAsia"/>
          <w:kern w:val="2"/>
          <w:sz w:val="32"/>
          <w:szCs w:val="32"/>
        </w:rPr>
        <w:t>.专项债券信息披露不及时</w:t>
      </w:r>
    </w:p>
    <w:p>
      <w:pPr>
        <w:pStyle w:val="5"/>
        <w:adjustRightInd w:val="0"/>
        <w:snapToGrid/>
        <w:spacing w:line="360" w:lineRule="auto"/>
        <w:ind w:firstLine="640" w:firstLineChars="200"/>
        <w:rPr>
          <w:kern w:val="2"/>
          <w:sz w:val="32"/>
          <w:szCs w:val="32"/>
        </w:rPr>
      </w:pPr>
      <w:r>
        <w:rPr>
          <w:rFonts w:hint="eastAsia"/>
          <w:kern w:val="2"/>
          <w:sz w:val="32"/>
          <w:szCs w:val="32"/>
        </w:rPr>
        <w:t>项目主管部门未能按照《关于印发〈地方政府债务信息公开办法（试行）〉的通知》（财预〔2018〕209号）文件的规定在每年6月底前公开规定信息。</w:t>
      </w:r>
    </w:p>
    <w:p>
      <w:pPr>
        <w:adjustRightInd w:val="0"/>
        <w:spacing w:line="360" w:lineRule="auto"/>
        <w:ind w:firstLine="640" w:firstLineChars="200"/>
        <w:rPr>
          <w:rFonts w:ascii="楷体_GB2312" w:eastAsia="楷体_GB2312"/>
          <w:sz w:val="32"/>
          <w:szCs w:val="32"/>
        </w:rPr>
      </w:pPr>
      <w:r>
        <w:rPr>
          <w:rFonts w:hint="eastAsia" w:ascii="楷体_GB2312" w:eastAsia="楷体_GB2312"/>
          <w:sz w:val="32"/>
          <w:szCs w:val="32"/>
        </w:rPr>
        <w:t>（二）项目管理方面</w:t>
      </w:r>
    </w:p>
    <w:p>
      <w:pPr>
        <w:pStyle w:val="5"/>
        <w:adjustRightInd w:val="0"/>
        <w:snapToGrid/>
        <w:spacing w:line="360" w:lineRule="auto"/>
        <w:ind w:firstLine="640" w:firstLineChars="200"/>
        <w:rPr>
          <w:kern w:val="2"/>
          <w:sz w:val="32"/>
          <w:szCs w:val="32"/>
        </w:rPr>
      </w:pPr>
      <w:r>
        <w:rPr>
          <w:rFonts w:hint="eastAsia"/>
          <w:kern w:val="2"/>
          <w:sz w:val="32"/>
          <w:szCs w:val="32"/>
        </w:rPr>
        <w:t>1.项目可研批复、概算批复涵盖内容不全面</w:t>
      </w:r>
    </w:p>
    <w:p>
      <w:pPr>
        <w:pStyle w:val="5"/>
        <w:adjustRightInd w:val="0"/>
        <w:snapToGrid/>
        <w:spacing w:line="360" w:lineRule="auto"/>
        <w:ind w:firstLine="640" w:firstLineChars="200"/>
        <w:rPr>
          <w:kern w:val="2"/>
          <w:sz w:val="32"/>
          <w:szCs w:val="32"/>
        </w:rPr>
      </w:pPr>
      <w:r>
        <w:rPr>
          <w:rFonts w:hint="eastAsia"/>
          <w:kern w:val="2"/>
          <w:sz w:val="32"/>
          <w:szCs w:val="32"/>
        </w:rPr>
        <w:t>项目可研、概算批复未将需要设备基础的大型设备纳入，也未考虑融资成本的建设期利息。</w:t>
      </w:r>
    </w:p>
    <w:p>
      <w:pPr>
        <w:pStyle w:val="5"/>
        <w:adjustRightInd w:val="0"/>
        <w:snapToGrid/>
        <w:spacing w:line="360" w:lineRule="auto"/>
        <w:ind w:firstLine="640" w:firstLineChars="200"/>
        <w:rPr>
          <w:kern w:val="2"/>
          <w:sz w:val="32"/>
          <w:szCs w:val="32"/>
        </w:rPr>
      </w:pPr>
      <w:r>
        <w:rPr>
          <w:rFonts w:hint="eastAsia"/>
          <w:kern w:val="2"/>
          <w:sz w:val="32"/>
          <w:szCs w:val="32"/>
        </w:rPr>
        <w:t>2.项目管理不够规范</w:t>
      </w:r>
    </w:p>
    <w:p>
      <w:pPr>
        <w:pStyle w:val="5"/>
        <w:adjustRightInd w:val="0"/>
        <w:snapToGrid/>
        <w:spacing w:line="360" w:lineRule="auto"/>
        <w:ind w:firstLine="640" w:firstLineChars="200"/>
        <w:rPr>
          <w:kern w:val="2"/>
          <w:sz w:val="32"/>
          <w:szCs w:val="32"/>
        </w:rPr>
      </w:pPr>
      <w:r>
        <w:rPr>
          <w:rFonts w:hint="eastAsia"/>
          <w:kern w:val="2"/>
          <w:sz w:val="32"/>
          <w:szCs w:val="32"/>
        </w:rPr>
        <w:t>（1）施工招标工作不严谨导致后期工作量加大。（2）项目进度未按计划执行，进度滞后。（3）变更程序不规范、责任划分不明确。（4）建设、验收程序不合规。</w:t>
      </w:r>
    </w:p>
    <w:p>
      <w:pPr>
        <w:pStyle w:val="5"/>
        <w:adjustRightInd w:val="0"/>
        <w:snapToGrid/>
        <w:spacing w:line="360" w:lineRule="auto"/>
        <w:ind w:firstLine="640" w:firstLineChars="200"/>
        <w:rPr>
          <w:kern w:val="2"/>
          <w:sz w:val="32"/>
          <w:szCs w:val="32"/>
        </w:rPr>
      </w:pPr>
      <w:r>
        <w:rPr>
          <w:rFonts w:hint="eastAsia"/>
          <w:kern w:val="2"/>
          <w:sz w:val="32"/>
          <w:szCs w:val="32"/>
        </w:rPr>
        <w:t>原因分析：①</w:t>
      </w:r>
      <w:r>
        <w:rPr>
          <w:rFonts w:hint="eastAsia"/>
          <w:color w:val="000000"/>
          <w:sz w:val="32"/>
          <w:szCs w:val="32"/>
        </w:rPr>
        <w:t>项目各种手续办理难度较大，受外界客观因素影响较多，加之</w:t>
      </w:r>
      <w:r>
        <w:rPr>
          <w:rFonts w:hint="eastAsia"/>
          <w:kern w:val="2"/>
          <w:sz w:val="32"/>
          <w:szCs w:val="32"/>
        </w:rPr>
        <w:t>项目管理人员经验不足，导致项目进度缓慢；②受新冠疫情的影响，工程施工都受到了一定的制约；③监理单位未严格按照相关规范执行变更程序；④未严格按验收规范执行，质监站监督验收不及时。</w:t>
      </w:r>
    </w:p>
    <w:p>
      <w:pPr>
        <w:adjustRightInd w:val="0"/>
        <w:spacing w:line="360" w:lineRule="auto"/>
        <w:ind w:firstLine="640" w:firstLineChars="200"/>
        <w:rPr>
          <w:rFonts w:ascii="楷体_GB2312" w:eastAsia="楷体_GB2312"/>
          <w:sz w:val="32"/>
          <w:szCs w:val="32"/>
        </w:rPr>
      </w:pPr>
      <w:r>
        <w:rPr>
          <w:rFonts w:hint="eastAsia" w:ascii="楷体_GB2312" w:eastAsia="楷体_GB2312"/>
          <w:sz w:val="32"/>
          <w:szCs w:val="32"/>
        </w:rPr>
        <w:t>（三）项目建设存在资金缺口</w:t>
      </w:r>
    </w:p>
    <w:p>
      <w:pPr>
        <w:pStyle w:val="5"/>
        <w:adjustRightInd w:val="0"/>
        <w:snapToGrid/>
        <w:spacing w:line="360" w:lineRule="auto"/>
        <w:ind w:firstLine="640" w:firstLineChars="200"/>
        <w:rPr>
          <w:kern w:val="2"/>
          <w:sz w:val="32"/>
          <w:szCs w:val="32"/>
        </w:rPr>
      </w:pPr>
      <w:r>
        <w:rPr>
          <w:kern w:val="2"/>
          <w:sz w:val="32"/>
          <w:szCs w:val="32"/>
        </w:rPr>
        <w:t>该项目预算安排资金总计5</w:t>
      </w:r>
      <w:r>
        <w:rPr>
          <w:rFonts w:hint="eastAsia"/>
          <w:kern w:val="2"/>
          <w:sz w:val="32"/>
          <w:szCs w:val="32"/>
        </w:rPr>
        <w:t>5</w:t>
      </w:r>
      <w:r>
        <w:rPr>
          <w:kern w:val="2"/>
          <w:sz w:val="32"/>
          <w:szCs w:val="32"/>
        </w:rPr>
        <w:t>,957</w:t>
      </w:r>
      <w:r>
        <w:rPr>
          <w:rFonts w:hint="eastAsia"/>
          <w:kern w:val="2"/>
          <w:sz w:val="32"/>
          <w:szCs w:val="32"/>
        </w:rPr>
        <w:t>.00</w:t>
      </w:r>
      <w:r>
        <w:rPr>
          <w:kern w:val="2"/>
          <w:sz w:val="32"/>
          <w:szCs w:val="32"/>
        </w:rPr>
        <w:t>万元</w:t>
      </w:r>
      <w:r>
        <w:rPr>
          <w:rFonts w:hint="eastAsia"/>
          <w:kern w:val="2"/>
          <w:sz w:val="32"/>
          <w:szCs w:val="32"/>
        </w:rPr>
        <w:t>，</w:t>
      </w:r>
      <w:r>
        <w:rPr>
          <w:kern w:val="2"/>
          <w:sz w:val="32"/>
          <w:szCs w:val="32"/>
        </w:rPr>
        <w:t>以合同价</w:t>
      </w:r>
      <w:r>
        <w:rPr>
          <w:rFonts w:hint="eastAsia"/>
          <w:kern w:val="2"/>
          <w:sz w:val="32"/>
          <w:szCs w:val="32"/>
        </w:rPr>
        <w:t>或</w:t>
      </w:r>
      <w:r>
        <w:rPr>
          <w:kern w:val="2"/>
          <w:sz w:val="32"/>
          <w:szCs w:val="32"/>
        </w:rPr>
        <w:t>评审价列示</w:t>
      </w:r>
      <w:r>
        <w:rPr>
          <w:rFonts w:hint="eastAsia"/>
          <w:kern w:val="2"/>
          <w:sz w:val="32"/>
          <w:szCs w:val="32"/>
        </w:rPr>
        <w:t>的</w:t>
      </w:r>
      <w:r>
        <w:rPr>
          <w:kern w:val="2"/>
          <w:sz w:val="32"/>
          <w:szCs w:val="32"/>
        </w:rPr>
        <w:t>投资额为</w:t>
      </w:r>
      <w:r>
        <w:rPr>
          <w:rFonts w:hint="eastAsia"/>
          <w:kern w:val="2"/>
          <w:sz w:val="32"/>
          <w:szCs w:val="32"/>
        </w:rPr>
        <w:t>63,967.16</w:t>
      </w:r>
      <w:r>
        <w:rPr>
          <w:kern w:val="2"/>
          <w:sz w:val="32"/>
          <w:szCs w:val="32"/>
        </w:rPr>
        <w:t>万元</w:t>
      </w:r>
      <w:r>
        <w:rPr>
          <w:rFonts w:hint="eastAsia"/>
          <w:kern w:val="2"/>
          <w:sz w:val="32"/>
          <w:szCs w:val="32"/>
        </w:rPr>
        <w:t>，项目资金缺口8,010.16万元，若考虑后期变更金额，资金缺口将更大。若不能及时解决资金缺口，将影响工程进度及交付使用。</w:t>
      </w:r>
    </w:p>
    <w:p>
      <w:pPr>
        <w:adjustRightInd w:val="0"/>
        <w:spacing w:line="360" w:lineRule="auto"/>
        <w:ind w:firstLine="640" w:firstLineChars="200"/>
        <w:rPr>
          <w:rFonts w:ascii="黑体" w:hAnsi="黑体" w:eastAsia="黑体" w:cs="黑体"/>
          <w:bCs/>
          <w:sz w:val="32"/>
          <w:szCs w:val="32"/>
          <w:lang w:bidi="en-US"/>
        </w:rPr>
      </w:pPr>
      <w:r>
        <w:rPr>
          <w:rFonts w:hint="eastAsia" w:ascii="黑体" w:hAnsi="黑体" w:eastAsia="黑体" w:cs="黑体"/>
          <w:bCs/>
          <w:sz w:val="32"/>
          <w:szCs w:val="32"/>
          <w:lang w:bidi="en-US"/>
        </w:rPr>
        <w:t>六、有关建议</w:t>
      </w:r>
    </w:p>
    <w:p>
      <w:pPr>
        <w:adjustRightInd w:val="0"/>
        <w:spacing w:line="360" w:lineRule="auto"/>
        <w:ind w:firstLine="640" w:firstLineChars="200"/>
        <w:rPr>
          <w:rFonts w:ascii="楷体_GB2312" w:eastAsia="楷体_GB2312"/>
          <w:sz w:val="32"/>
          <w:szCs w:val="32"/>
        </w:rPr>
      </w:pPr>
      <w:r>
        <w:rPr>
          <w:rFonts w:hint="eastAsia" w:ascii="楷体_GB2312" w:eastAsia="楷体_GB2312"/>
          <w:sz w:val="32"/>
          <w:szCs w:val="32"/>
        </w:rPr>
        <w:t>（一）提高专项债券资金支付进度，发挥资金使用效益</w:t>
      </w:r>
    </w:p>
    <w:p>
      <w:pPr>
        <w:adjustRightInd w:val="0"/>
        <w:spacing w:line="360" w:lineRule="auto"/>
        <w:ind w:firstLine="640" w:firstLineChars="200"/>
        <w:rPr>
          <w:rFonts w:ascii="仿宋_GB2312"/>
          <w:sz w:val="32"/>
          <w:szCs w:val="32"/>
        </w:rPr>
      </w:pPr>
      <w:r>
        <w:rPr>
          <w:rFonts w:hint="eastAsia" w:ascii="仿宋_GB2312"/>
          <w:sz w:val="32"/>
          <w:szCs w:val="32"/>
        </w:rPr>
        <w:t>建议项目单位在保证项目质量的前提下，加快项目实施进度，提高专项债券资金支付进度，发挥资金使用效益。</w:t>
      </w:r>
    </w:p>
    <w:p>
      <w:pPr>
        <w:adjustRightInd w:val="0"/>
        <w:spacing w:line="360" w:lineRule="auto"/>
        <w:ind w:firstLine="640" w:firstLineChars="200"/>
        <w:rPr>
          <w:rFonts w:ascii="楷体_GB2312" w:eastAsia="楷体_GB2312"/>
          <w:sz w:val="32"/>
          <w:szCs w:val="32"/>
        </w:rPr>
      </w:pPr>
      <w:r>
        <w:rPr>
          <w:rFonts w:hint="eastAsia" w:ascii="楷体_GB2312" w:eastAsia="楷体_GB2312"/>
          <w:sz w:val="32"/>
          <w:szCs w:val="32"/>
        </w:rPr>
        <w:t>（二）做好专项债券资金偿还计划</w:t>
      </w:r>
    </w:p>
    <w:p>
      <w:pPr>
        <w:adjustRightInd w:val="0"/>
        <w:spacing w:line="360" w:lineRule="auto"/>
        <w:ind w:firstLine="640" w:firstLineChars="200"/>
        <w:rPr>
          <w:rFonts w:ascii="仿宋_GB2312"/>
          <w:sz w:val="32"/>
          <w:szCs w:val="32"/>
        </w:rPr>
      </w:pPr>
      <w:r>
        <w:rPr>
          <w:rFonts w:hint="eastAsia" w:ascii="仿宋_GB2312"/>
          <w:sz w:val="32"/>
          <w:szCs w:val="32"/>
        </w:rPr>
        <w:t>建议项目单位首先通过督促项目工作建设进度和质量，进一步推动效益效果的及时发挥和收益水平的顺利实现；其次，对后期需要的医疗设备及信息化工程建设要积极落实资金，尽快进入相关流程，保证项目及时交付营运，以提高项目运营收益时效和水平；最后，注重融资收益平衡与偿债风险，尤其重视和解决防范因市场供求关系、货币政策、项目进度等原因导致的不利变化，加强项目收益监测。通过上述措施</w:t>
      </w:r>
      <w:r>
        <w:rPr>
          <w:rFonts w:hint="eastAsia"/>
          <w:sz w:val="32"/>
          <w:szCs w:val="32"/>
        </w:rPr>
        <w:t>确保能够按时偿还专项债券资金本金和利息。</w:t>
      </w:r>
    </w:p>
    <w:p>
      <w:pPr>
        <w:adjustRightInd w:val="0"/>
        <w:spacing w:line="360" w:lineRule="auto"/>
        <w:ind w:firstLine="640" w:firstLineChars="200"/>
        <w:rPr>
          <w:rFonts w:ascii="楷体_GB2312" w:eastAsia="楷体_GB2312"/>
          <w:sz w:val="32"/>
          <w:szCs w:val="32"/>
        </w:rPr>
      </w:pPr>
      <w:r>
        <w:rPr>
          <w:rFonts w:hint="eastAsia" w:ascii="楷体_GB2312" w:eastAsia="楷体_GB2312"/>
          <w:sz w:val="32"/>
          <w:szCs w:val="32"/>
        </w:rPr>
        <w:t>（三）加强专项债券资金绩效管理及监管力度</w:t>
      </w:r>
    </w:p>
    <w:p>
      <w:pPr>
        <w:adjustRightInd w:val="0"/>
        <w:spacing w:line="360" w:lineRule="auto"/>
        <w:ind w:firstLine="640" w:firstLineChars="200"/>
        <w:rPr>
          <w:rFonts w:ascii="仿宋_GB2312"/>
          <w:sz w:val="32"/>
          <w:szCs w:val="32"/>
        </w:rPr>
      </w:pPr>
      <w:r>
        <w:rPr>
          <w:rFonts w:hint="eastAsia" w:ascii="仿宋_GB2312"/>
          <w:sz w:val="32"/>
          <w:szCs w:val="32"/>
        </w:rPr>
        <w:t>1.建议项目单位加强专项债券资金绩效管理。根据财政部《项目支出绩效评价管理办法》（财预〔2020〕10号）及</w:t>
      </w:r>
      <w:r>
        <w:rPr>
          <w:rFonts w:hint="eastAsia"/>
          <w:sz w:val="32"/>
          <w:szCs w:val="32"/>
        </w:rPr>
        <w:t>《关于印发〈地方政府专项债券项目资金绩效管理办法〉的通知》（财预〔2021〕61号）</w:t>
      </w:r>
      <w:r>
        <w:rPr>
          <w:rFonts w:hint="eastAsia" w:ascii="仿宋_GB2312"/>
          <w:sz w:val="32"/>
          <w:szCs w:val="32"/>
        </w:rPr>
        <w:t>要求，完善项目绩效考核体系，针对专项债券资金支付进度缓慢情况制定行之有效的改进措施。同时，按照绩效管理要求，建立绩效考核体系，制订建设项目绩效监控流程，发现偏差及时纠错。</w:t>
      </w:r>
    </w:p>
    <w:p>
      <w:pPr>
        <w:adjustRightInd w:val="0"/>
        <w:spacing w:line="360" w:lineRule="auto"/>
        <w:ind w:firstLine="640" w:firstLineChars="200"/>
        <w:rPr>
          <w:sz w:val="32"/>
          <w:szCs w:val="32"/>
        </w:rPr>
      </w:pPr>
      <w:r>
        <w:rPr>
          <w:rFonts w:hint="eastAsia" w:ascii="仿宋_GB2312"/>
          <w:sz w:val="32"/>
          <w:szCs w:val="32"/>
        </w:rPr>
        <w:t>2.</w:t>
      </w:r>
      <w:r>
        <w:rPr>
          <w:rFonts w:hint="eastAsia"/>
          <w:sz w:val="32"/>
          <w:szCs w:val="32"/>
        </w:rPr>
        <w:t>建议主管部门严格按照债券资金信息披露的相关要求，对项目专项债券资金使用情况及可能影响专项债券偿还能力的重大事项等内容进行公开。</w:t>
      </w:r>
    </w:p>
    <w:p>
      <w:pPr>
        <w:pStyle w:val="2"/>
        <w:ind w:firstLine="640" w:firstLineChars="200"/>
      </w:pPr>
      <w:r>
        <w:rPr>
          <w:rFonts w:hint="eastAsia" w:ascii="仿宋_GB2312" w:hAnsi="Times New Roman"/>
          <w:sz w:val="32"/>
          <w:szCs w:val="32"/>
        </w:rPr>
        <w:t>3.</w:t>
      </w:r>
      <w:r>
        <w:rPr>
          <w:rFonts w:hint="eastAsia"/>
          <w:sz w:val="32"/>
          <w:szCs w:val="32"/>
        </w:rPr>
        <w:t xml:space="preserve">建议财政部门相关支出科室和主管部门应建立专项债券项目资金绩效跟踪监测机制，对绩效目标实现程度进行动态监控，主管部门对监控中发现问题及时纠正并告知财政部门，提高专项债券资金使用效益，确保绩效目标如期实现。   </w:t>
      </w:r>
    </w:p>
    <w:p>
      <w:pPr>
        <w:adjustRightInd w:val="0"/>
        <w:spacing w:line="360" w:lineRule="auto"/>
        <w:ind w:firstLine="640" w:firstLineChars="200"/>
        <w:rPr>
          <w:rFonts w:ascii="仿宋_GB2312"/>
          <w:sz w:val="32"/>
          <w:szCs w:val="32"/>
        </w:rPr>
      </w:pPr>
      <w:r>
        <w:rPr>
          <w:rFonts w:hint="eastAsia" w:ascii="仿宋_GB2312"/>
          <w:sz w:val="32"/>
          <w:szCs w:val="32"/>
        </w:rPr>
        <w:t>4.</w:t>
      </w:r>
      <w:r>
        <w:rPr>
          <w:rFonts w:hint="eastAsia"/>
          <w:sz w:val="32"/>
          <w:szCs w:val="32"/>
        </w:rPr>
        <w:t>建议财政部门和主管部门利用信息化手段探索对专项债券项目实行穿透式监管；财政部门将</w:t>
      </w:r>
      <w:r>
        <w:rPr>
          <w:rFonts w:hint="eastAsia" w:ascii="仿宋_GB2312"/>
          <w:sz w:val="32"/>
          <w:szCs w:val="32"/>
        </w:rPr>
        <w:t>债券绩效评价结果作为衡量预算部门资金管理、项目管理、绩效管理水平的重要参考，督促主管部门和项目单位切实提高专项债券资金的使用效益和效能。</w:t>
      </w:r>
    </w:p>
    <w:p>
      <w:pPr>
        <w:adjustRightInd w:val="0"/>
        <w:spacing w:line="360" w:lineRule="auto"/>
        <w:ind w:firstLine="640" w:firstLineChars="200"/>
        <w:rPr>
          <w:rFonts w:ascii="仿宋_GB2312"/>
          <w:sz w:val="32"/>
          <w:szCs w:val="32"/>
        </w:rPr>
      </w:pPr>
      <w:r>
        <w:rPr>
          <w:rFonts w:hint="eastAsia" w:ascii="楷体_GB2312" w:eastAsia="楷体_GB2312"/>
          <w:sz w:val="32"/>
          <w:szCs w:val="32"/>
        </w:rPr>
        <w:t>（四）项目单位做好项目管理工作</w:t>
      </w:r>
    </w:p>
    <w:p>
      <w:pPr>
        <w:adjustRightInd w:val="0"/>
        <w:spacing w:line="360" w:lineRule="auto"/>
        <w:ind w:firstLine="640" w:firstLineChars="200"/>
        <w:rPr>
          <w:rFonts w:ascii="仿宋_GB2312"/>
          <w:sz w:val="32"/>
          <w:szCs w:val="32"/>
        </w:rPr>
      </w:pPr>
      <w:r>
        <w:rPr>
          <w:rFonts w:hint="eastAsia" w:ascii="仿宋_GB2312"/>
          <w:sz w:val="32"/>
          <w:szCs w:val="32"/>
        </w:rPr>
        <w:t>1.完善项目变更流程，明确责任划分。项目单位对已发生的变更事项，督促各方尽快补齐和完善相关手续，防止项目完工后出现价值认定偏差或引起经济纠纷；对于设计错误发生的设计变更，按照合同及《施工及工程签证管理规定》，明确划分责任。</w:t>
      </w:r>
    </w:p>
    <w:p>
      <w:pPr>
        <w:adjustRightInd w:val="0"/>
        <w:spacing w:line="360" w:lineRule="auto"/>
        <w:ind w:firstLine="640" w:firstLineChars="200"/>
        <w:rPr>
          <w:rFonts w:ascii="仿宋_GB2312"/>
          <w:sz w:val="32"/>
          <w:szCs w:val="32"/>
        </w:rPr>
      </w:pPr>
      <w:r>
        <w:rPr>
          <w:rFonts w:hint="eastAsia" w:ascii="仿宋_GB2312"/>
          <w:sz w:val="32"/>
          <w:szCs w:val="32"/>
        </w:rPr>
        <w:t>2.落实主体工程验收工作。项目单位应积极与质监站沟通，尽快落实主体工程验收网上审核工作，规范验收流程。</w:t>
      </w:r>
    </w:p>
    <w:p>
      <w:pPr>
        <w:adjustRightInd w:val="0"/>
        <w:snapToGrid w:val="0"/>
        <w:spacing w:line="360" w:lineRule="auto"/>
        <w:ind w:firstLine="640" w:firstLineChars="200"/>
        <w:rPr>
          <w:rFonts w:ascii="仿宋_GB2312"/>
          <w:sz w:val="32"/>
          <w:szCs w:val="32"/>
        </w:rPr>
      </w:pPr>
      <w:r>
        <w:rPr>
          <w:rFonts w:hint="eastAsia" w:ascii="仿宋_GB2312"/>
          <w:sz w:val="32"/>
          <w:szCs w:val="32"/>
        </w:rPr>
        <w:t>3.加强项目档案资料管理工作。项目单位资料应按照建设程序、工程类别及时间节点，分部门、分阶段、分节点整理成册，并建立目录，同时设置项目合同台账，重视项目档案资料管理工作。以便项目竣工验收时保证档案资料完整性。</w:t>
      </w:r>
    </w:p>
    <w:p>
      <w:pPr>
        <w:pStyle w:val="4"/>
        <w:keepNext w:val="0"/>
        <w:keepLines w:val="0"/>
        <w:widowControl/>
        <w:adjustRightInd w:val="0"/>
        <w:snapToGrid w:val="0"/>
        <w:spacing w:before="0" w:after="0" w:line="360" w:lineRule="auto"/>
        <w:ind w:left="600" w:leftChars="200"/>
        <w:rPr>
          <w:rFonts w:ascii="宋体" w:hAnsi="宋体" w:eastAsia="黑体" w:cs="宋体"/>
          <w:b w:val="0"/>
          <w:color w:val="000000" w:themeColor="text1"/>
          <w:kern w:val="36"/>
          <w:sz w:val="32"/>
          <w:szCs w:val="48"/>
          <w14:textFill>
            <w14:solidFill>
              <w14:schemeClr w14:val="tx1"/>
            </w14:solidFill>
          </w14:textFill>
        </w:rPr>
      </w:pPr>
      <w:r>
        <w:rPr>
          <w:rFonts w:hint="eastAsia" w:ascii="宋体" w:hAnsi="宋体" w:eastAsia="黑体" w:cs="宋体"/>
          <w:b w:val="0"/>
          <w:color w:val="000000" w:themeColor="text1"/>
          <w:kern w:val="36"/>
          <w:sz w:val="32"/>
          <w:szCs w:val="48"/>
          <w14:textFill>
            <w14:solidFill>
              <w14:schemeClr w14:val="tx1"/>
            </w14:solidFill>
          </w14:textFill>
        </w:rPr>
        <w:t>七、其他需要说明的问题</w:t>
      </w:r>
    </w:p>
    <w:p>
      <w:pPr>
        <w:snapToGrid w:val="0"/>
        <w:spacing w:line="360" w:lineRule="auto"/>
        <w:ind w:left="600" w:leftChars="200"/>
      </w:pPr>
      <w:r>
        <w:rPr>
          <w:rFonts w:hint="eastAsia"/>
        </w:rPr>
        <w:t>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jc w:val="both"/>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mRlYmZjODRkZDk1ZmJiYzlmZGRhZTA0OTZkNTYifQ=="/>
  </w:docVars>
  <w:rsids>
    <w:rsidRoot w:val="00D734E4"/>
    <w:rsid w:val="004678F1"/>
    <w:rsid w:val="00650D35"/>
    <w:rsid w:val="009E1960"/>
    <w:rsid w:val="00D734E4"/>
    <w:rsid w:val="08BF5E5A"/>
    <w:rsid w:val="09410F65"/>
    <w:rsid w:val="09734453"/>
    <w:rsid w:val="130C2A8B"/>
    <w:rsid w:val="16BC60CF"/>
    <w:rsid w:val="197E5F28"/>
    <w:rsid w:val="1A1D0E64"/>
    <w:rsid w:val="24427FF2"/>
    <w:rsid w:val="25613EAC"/>
    <w:rsid w:val="2B116592"/>
    <w:rsid w:val="2E162111"/>
    <w:rsid w:val="32EB60A9"/>
    <w:rsid w:val="34250083"/>
    <w:rsid w:val="40AD06B3"/>
    <w:rsid w:val="434A3F97"/>
    <w:rsid w:val="46B93561"/>
    <w:rsid w:val="48AC7D51"/>
    <w:rsid w:val="49BA799D"/>
    <w:rsid w:val="5E1D5B7D"/>
    <w:rsid w:val="64A55079"/>
    <w:rsid w:val="699C7DEA"/>
    <w:rsid w:val="6CB542C8"/>
    <w:rsid w:val="79AE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样式10"/>
    <w:basedOn w:val="3"/>
    <w:qFormat/>
    <w:uiPriority w:val="0"/>
    <w:pPr>
      <w:spacing w:line="360" w:lineRule="auto"/>
    </w:pPr>
    <w:rPr>
      <w:sz w:val="24"/>
    </w:rPr>
  </w:style>
  <w:style w:type="paragraph" w:customStyle="1" w:styleId="3">
    <w:name w:val="样式9"/>
    <w:basedOn w:val="1"/>
    <w:qFormat/>
    <w:uiPriority w:val="0"/>
    <w:pPr>
      <w:spacing w:line="480" w:lineRule="auto"/>
    </w:pPr>
    <w:rPr>
      <w:rFonts w:ascii="Calibri" w:hAnsi="Calibri"/>
      <w:sz w:val="28"/>
    </w:rPr>
  </w:style>
  <w:style w:type="paragraph" w:styleId="5">
    <w:name w:val="Normal Indent"/>
    <w:basedOn w:val="1"/>
    <w:qFormat/>
    <w:uiPriority w:val="0"/>
    <w:pPr>
      <w:snapToGrid w:val="0"/>
      <w:spacing w:line="300" w:lineRule="auto"/>
      <w:ind w:firstLine="556"/>
    </w:pPr>
    <w:rPr>
      <w:rFonts w:ascii="仿宋_GB2312"/>
      <w:kern w:val="0"/>
    </w:rPr>
  </w:style>
  <w:style w:type="paragraph" w:styleId="6">
    <w:name w:val="Body Text"/>
    <w:basedOn w:val="1"/>
    <w:qFormat/>
    <w:uiPriority w:val="1"/>
    <w:rPr>
      <w:sz w:val="32"/>
      <w:szCs w:val="3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6"/>
    <w:unhideWhenUsed/>
    <w:qFormat/>
    <w:uiPriority w:val="0"/>
    <w:pPr>
      <w:ind w:firstLine="420" w:firstLineChars="100"/>
    </w:pPr>
    <w:rPr>
      <w:rFonts w:hint="eastAsia"/>
    </w:rPr>
  </w:style>
  <w:style w:type="paragraph" w:customStyle="1" w:styleId="13">
    <w:name w:val="表格"/>
    <w:basedOn w:val="1"/>
    <w:qFormat/>
    <w:uiPriority w:val="0"/>
    <w:pPr>
      <w:spacing w:line="300" w:lineRule="exact"/>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3436</Words>
  <Characters>3662</Characters>
  <Lines>28</Lines>
  <Paragraphs>7</Paragraphs>
  <TotalTime>28</TotalTime>
  <ScaleCrop>false</ScaleCrop>
  <LinksUpToDate>false</LinksUpToDate>
  <CharactersWithSpaces>3679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2022-11-01T02:37:00Z</dcterms:created>
  <dc:creator>35777</dc:creator>
  <cp:lastModifiedBy>欧阳</cp:lastModifiedBy>
  <dcterms:modified xsi:type="dcterms:W3CDTF">2023-04-19T05:19:31Z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F22C5BF537D640F2A6DA519333A5BCD1</vt:lpwstr>
  </property>
</Properties>
</file>